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01" w:rsidRPr="007E2053" w:rsidRDefault="0040184E" w:rsidP="0029034C">
      <w:pPr>
        <w:spacing w:line="240" w:lineRule="auto"/>
        <w:jc w:val="center"/>
        <w:rPr>
          <w:b/>
          <w:szCs w:val="22"/>
          <w:lang w:val="sk-SK"/>
        </w:rPr>
      </w:pPr>
      <w:r w:rsidRPr="007E2053">
        <w:rPr>
          <w:b/>
          <w:szCs w:val="22"/>
          <w:lang w:val="sk-SK"/>
        </w:rPr>
        <w:t>SÚHRN CHARAKTERISTICKÝCH VLASTNOSTÍ LIEKU</w:t>
      </w:r>
    </w:p>
    <w:p w:rsidR="00CD78F1" w:rsidRPr="007E2053" w:rsidRDefault="00CD78F1" w:rsidP="00CD78F1">
      <w:pPr>
        <w:spacing w:line="240" w:lineRule="auto"/>
        <w:rPr>
          <w:szCs w:val="22"/>
          <w:lang w:val="sk-SK"/>
        </w:rPr>
      </w:pPr>
    </w:p>
    <w:p w:rsidR="00CD78F1" w:rsidRPr="007E2053" w:rsidRDefault="00CD78F1" w:rsidP="00CD78F1">
      <w:pPr>
        <w:spacing w:line="240" w:lineRule="auto"/>
        <w:rPr>
          <w:szCs w:val="22"/>
          <w:lang w:val="sk-SK"/>
        </w:rPr>
      </w:pPr>
    </w:p>
    <w:p w:rsidR="001F4901" w:rsidRPr="007E2053" w:rsidRDefault="001F4901" w:rsidP="007C6E4E">
      <w:pPr>
        <w:pStyle w:val="Nadpis1"/>
        <w:rPr>
          <w:lang w:val="sk-SK"/>
        </w:rPr>
      </w:pPr>
      <w:r w:rsidRPr="007E2053">
        <w:rPr>
          <w:lang w:val="sk-SK"/>
        </w:rPr>
        <w:t>1.</w:t>
      </w:r>
      <w:r w:rsidRPr="007E2053">
        <w:rPr>
          <w:lang w:val="sk-SK"/>
        </w:rPr>
        <w:tab/>
      </w:r>
      <w:r w:rsidR="00B727B6" w:rsidRPr="007E2053">
        <w:rPr>
          <w:lang w:val="sk-SK"/>
        </w:rPr>
        <w:t>NÁZOV LIEKU</w:t>
      </w:r>
    </w:p>
    <w:p w:rsidR="001F4901" w:rsidRPr="007E2053" w:rsidRDefault="001F4901" w:rsidP="0029034C">
      <w:pPr>
        <w:keepNext/>
        <w:spacing w:line="240" w:lineRule="auto"/>
        <w:rPr>
          <w:iCs/>
          <w:noProof/>
          <w:szCs w:val="22"/>
          <w:lang w:val="sk-SK"/>
        </w:rPr>
      </w:pPr>
    </w:p>
    <w:p w:rsidR="001F4901" w:rsidRPr="007E2053" w:rsidRDefault="003C7052" w:rsidP="0029034C">
      <w:pPr>
        <w:widowControl w:val="0"/>
        <w:spacing w:line="240" w:lineRule="auto"/>
        <w:rPr>
          <w:noProof/>
          <w:szCs w:val="22"/>
          <w:lang w:val="sk-SK"/>
        </w:rPr>
      </w:pPr>
      <w:r w:rsidRPr="007E2053">
        <w:rPr>
          <w:noProof/>
          <w:szCs w:val="22"/>
          <w:lang w:val="sk-SK"/>
        </w:rPr>
        <w:t>CINAMED 30</w:t>
      </w:r>
      <w:r w:rsidR="00B727B6" w:rsidRPr="007E2053">
        <w:rPr>
          <w:noProof/>
          <w:szCs w:val="22"/>
          <w:lang w:val="sk-SK"/>
        </w:rPr>
        <w:t> </w:t>
      </w:r>
      <w:r w:rsidR="00CF2AE0" w:rsidRPr="007E2053">
        <w:rPr>
          <w:noProof/>
          <w:szCs w:val="22"/>
          <w:lang w:val="sk-SK"/>
        </w:rPr>
        <w:t>mg</w:t>
      </w:r>
    </w:p>
    <w:p w:rsidR="003C7052" w:rsidRPr="007E2053" w:rsidRDefault="003C7052" w:rsidP="0029034C">
      <w:pPr>
        <w:widowControl w:val="0"/>
        <w:spacing w:line="240" w:lineRule="auto"/>
        <w:rPr>
          <w:noProof/>
          <w:szCs w:val="22"/>
          <w:lang w:val="sk-SK"/>
        </w:rPr>
      </w:pPr>
      <w:r w:rsidRPr="007E2053">
        <w:rPr>
          <w:noProof/>
          <w:szCs w:val="22"/>
          <w:lang w:val="sk-SK"/>
        </w:rPr>
        <w:t>CINAMED 60 mg</w:t>
      </w:r>
    </w:p>
    <w:p w:rsidR="003C7052" w:rsidRPr="007E2053" w:rsidRDefault="003C7052" w:rsidP="00805A31">
      <w:pPr>
        <w:spacing w:line="240" w:lineRule="auto"/>
        <w:rPr>
          <w:noProof/>
          <w:szCs w:val="22"/>
          <w:lang w:val="sk-SK"/>
        </w:rPr>
      </w:pPr>
    </w:p>
    <w:p w:rsidR="00805A31" w:rsidRPr="007E2053" w:rsidRDefault="003C7052" w:rsidP="00805A31">
      <w:pPr>
        <w:spacing w:line="240" w:lineRule="auto"/>
        <w:rPr>
          <w:noProof/>
          <w:szCs w:val="22"/>
          <w:lang w:val="sk-SK"/>
        </w:rPr>
      </w:pPr>
      <w:r w:rsidRPr="007E2053">
        <w:rPr>
          <w:noProof/>
          <w:szCs w:val="22"/>
          <w:lang w:val="sk-SK"/>
        </w:rPr>
        <w:t>filmom obalené tablety</w:t>
      </w:r>
    </w:p>
    <w:p w:rsidR="001F4901" w:rsidRPr="007E2053" w:rsidRDefault="001F4901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29034C">
      <w:pPr>
        <w:spacing w:line="240" w:lineRule="auto"/>
        <w:rPr>
          <w:iCs/>
          <w:noProof/>
          <w:szCs w:val="22"/>
          <w:lang w:val="sk-SK"/>
        </w:rPr>
      </w:pPr>
    </w:p>
    <w:p w:rsidR="001F4901" w:rsidRPr="007E2053" w:rsidRDefault="001F4901" w:rsidP="009A54FB">
      <w:pPr>
        <w:pStyle w:val="Nadpis1"/>
        <w:tabs>
          <w:tab w:val="left" w:pos="7335"/>
        </w:tabs>
        <w:rPr>
          <w:lang w:val="sk-SK"/>
        </w:rPr>
      </w:pPr>
      <w:r w:rsidRPr="007E2053">
        <w:rPr>
          <w:lang w:val="sk-SK"/>
        </w:rPr>
        <w:t>2.</w:t>
      </w:r>
      <w:r w:rsidRPr="007E2053">
        <w:rPr>
          <w:lang w:val="sk-SK"/>
        </w:rPr>
        <w:tab/>
      </w:r>
      <w:r w:rsidR="00634C44" w:rsidRPr="007E2053">
        <w:rPr>
          <w:lang w:val="sk-SK"/>
        </w:rPr>
        <w:t>KVALITATÍVNE A KVANTITATÍVNE ZLOŽENIE</w:t>
      </w:r>
      <w:r w:rsidR="009A54FB" w:rsidRPr="007E2053">
        <w:rPr>
          <w:lang w:val="sk-SK"/>
        </w:rPr>
        <w:tab/>
      </w:r>
    </w:p>
    <w:p w:rsidR="001F4901" w:rsidRPr="007E2053" w:rsidRDefault="001F4901" w:rsidP="0029034C">
      <w:pPr>
        <w:keepNext/>
        <w:spacing w:line="240" w:lineRule="auto"/>
        <w:rPr>
          <w:iCs/>
          <w:noProof/>
          <w:szCs w:val="22"/>
          <w:lang w:val="sk-SK"/>
        </w:rPr>
      </w:pPr>
    </w:p>
    <w:p w:rsidR="00B95719" w:rsidRPr="007E2053" w:rsidRDefault="00EA6072" w:rsidP="00B9571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>
        <w:rPr>
          <w:rFonts w:eastAsia="SimSun"/>
          <w:color w:val="000000"/>
          <w:szCs w:val="22"/>
          <w:lang w:val="sk-SK" w:eastAsia="sk-SK"/>
        </w:rPr>
        <w:t xml:space="preserve">Každá tableta obsahuje 30 mg alebo 60 mg </w:t>
      </w:r>
      <w:r w:rsidR="00B95719" w:rsidRPr="007E2053">
        <w:rPr>
          <w:rFonts w:eastAsia="SimSun"/>
          <w:color w:val="000000"/>
          <w:szCs w:val="22"/>
          <w:lang w:val="sk-SK" w:eastAsia="sk-SK"/>
        </w:rPr>
        <w:t xml:space="preserve">cinakalcetu (vo forme chloridu). </w:t>
      </w:r>
    </w:p>
    <w:p w:rsidR="00B95719" w:rsidRPr="007E2053" w:rsidRDefault="00B95719" w:rsidP="00B9571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95719" w:rsidRPr="007E2053" w:rsidRDefault="00B95719" w:rsidP="00B9571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Pomocná látka so známym účinkom: </w:t>
      </w:r>
    </w:p>
    <w:p w:rsidR="00B95719" w:rsidRPr="00A54E35" w:rsidRDefault="00B95719" w:rsidP="00B9571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A54E35">
        <w:rPr>
          <w:rFonts w:eastAsia="SimSun"/>
          <w:i/>
          <w:iCs/>
          <w:color w:val="000000"/>
          <w:szCs w:val="22"/>
          <w:lang w:val="sk-SK" w:eastAsia="sk-SK"/>
        </w:rPr>
        <w:t xml:space="preserve">CINAMED 30 mg </w:t>
      </w:r>
      <w:r w:rsidR="00A54E35" w:rsidRPr="00A54E35">
        <w:rPr>
          <w:rFonts w:eastAsia="SimSun"/>
          <w:color w:val="000000"/>
          <w:szCs w:val="22"/>
          <w:lang w:val="sk-SK" w:eastAsia="sk-SK"/>
        </w:rPr>
        <w:t>- Každá 30 mg tableta obsahuje 0</w:t>
      </w:r>
      <w:r w:rsidRPr="00A54E35">
        <w:rPr>
          <w:rFonts w:eastAsia="SimSun"/>
          <w:color w:val="000000"/>
          <w:szCs w:val="22"/>
          <w:lang w:val="sk-SK" w:eastAsia="sk-SK"/>
        </w:rPr>
        <w:t>,</w:t>
      </w:r>
      <w:r w:rsidR="00A54E35" w:rsidRPr="00A54E35">
        <w:rPr>
          <w:rFonts w:eastAsia="SimSun"/>
          <w:color w:val="000000"/>
          <w:szCs w:val="22"/>
          <w:lang w:val="sk-SK" w:eastAsia="sk-SK"/>
        </w:rPr>
        <w:t>5</w:t>
      </w:r>
      <w:r w:rsidRPr="00A54E35">
        <w:rPr>
          <w:rFonts w:eastAsia="SimSun"/>
          <w:color w:val="000000"/>
          <w:szCs w:val="22"/>
          <w:lang w:val="sk-SK" w:eastAsia="sk-SK"/>
        </w:rPr>
        <w:t>4</w:t>
      </w:r>
      <w:r w:rsidR="00A54E35" w:rsidRPr="00A54E35">
        <w:rPr>
          <w:rFonts w:eastAsia="SimSun"/>
          <w:color w:val="000000"/>
          <w:szCs w:val="22"/>
          <w:lang w:val="sk-SK" w:eastAsia="sk-SK"/>
        </w:rPr>
        <w:t>2</w:t>
      </w:r>
      <w:r w:rsidRPr="00A54E35">
        <w:rPr>
          <w:rFonts w:eastAsia="SimSun"/>
          <w:color w:val="000000"/>
          <w:szCs w:val="22"/>
          <w:lang w:val="sk-SK" w:eastAsia="sk-SK"/>
        </w:rPr>
        <w:t xml:space="preserve"> mg </w:t>
      </w:r>
      <w:r w:rsidR="00DC49E6">
        <w:rPr>
          <w:rFonts w:eastAsia="SimSun"/>
          <w:color w:val="000000"/>
          <w:szCs w:val="22"/>
          <w:lang w:val="sk-SK" w:eastAsia="sk-SK"/>
        </w:rPr>
        <w:t xml:space="preserve">monohydrátu </w:t>
      </w:r>
      <w:r w:rsidRPr="00A54E35">
        <w:rPr>
          <w:rFonts w:eastAsia="SimSun"/>
          <w:color w:val="000000"/>
          <w:szCs w:val="22"/>
          <w:lang w:val="sk-SK" w:eastAsia="sk-SK"/>
        </w:rPr>
        <w:t xml:space="preserve">laktózy. </w:t>
      </w:r>
    </w:p>
    <w:p w:rsidR="00B95719" w:rsidRPr="00A54E35" w:rsidRDefault="00B95719" w:rsidP="00B9571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B95719" w:rsidRPr="00A54E35" w:rsidRDefault="00B95719" w:rsidP="00B9571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A54E35">
        <w:rPr>
          <w:rFonts w:eastAsia="SimSun"/>
          <w:i/>
          <w:iCs/>
          <w:color w:val="000000"/>
          <w:szCs w:val="22"/>
          <w:lang w:val="sk-SK" w:eastAsia="sk-SK"/>
        </w:rPr>
        <w:t>CINAMED 60 mg -</w:t>
      </w:r>
      <w:r w:rsidR="00A54E35" w:rsidRPr="00A54E35">
        <w:rPr>
          <w:rFonts w:eastAsia="SimSun"/>
          <w:color w:val="000000"/>
          <w:szCs w:val="22"/>
          <w:lang w:val="sk-SK" w:eastAsia="sk-SK"/>
        </w:rPr>
        <w:t xml:space="preserve"> Každá 60 mg tableta obsahuje 1</w:t>
      </w:r>
      <w:r w:rsidRPr="00A54E35">
        <w:rPr>
          <w:rFonts w:eastAsia="SimSun"/>
          <w:color w:val="000000"/>
          <w:szCs w:val="22"/>
          <w:lang w:val="sk-SK" w:eastAsia="sk-SK"/>
        </w:rPr>
        <w:t>,</w:t>
      </w:r>
      <w:r w:rsidR="00A54E35" w:rsidRPr="00A54E35">
        <w:rPr>
          <w:rFonts w:eastAsia="SimSun"/>
          <w:color w:val="000000"/>
          <w:szCs w:val="22"/>
          <w:lang w:val="sk-SK" w:eastAsia="sk-SK"/>
        </w:rPr>
        <w:t>084</w:t>
      </w:r>
      <w:r w:rsidRPr="00A54E35">
        <w:rPr>
          <w:rFonts w:eastAsia="SimSun"/>
          <w:color w:val="000000"/>
          <w:szCs w:val="22"/>
          <w:lang w:val="sk-SK" w:eastAsia="sk-SK"/>
        </w:rPr>
        <w:t xml:space="preserve"> mg</w:t>
      </w:r>
      <w:r w:rsidR="00DC49E6">
        <w:rPr>
          <w:rFonts w:eastAsia="SimSun"/>
          <w:color w:val="000000"/>
          <w:szCs w:val="22"/>
          <w:lang w:val="sk-SK" w:eastAsia="sk-SK"/>
        </w:rPr>
        <w:t xml:space="preserve"> monohydrátu</w:t>
      </w:r>
      <w:r w:rsidRPr="00A54E35">
        <w:rPr>
          <w:rFonts w:eastAsia="SimSun"/>
          <w:color w:val="000000"/>
          <w:szCs w:val="22"/>
          <w:lang w:val="sk-SK" w:eastAsia="sk-SK"/>
        </w:rPr>
        <w:t xml:space="preserve"> laktózy. </w:t>
      </w:r>
    </w:p>
    <w:p w:rsidR="00B95719" w:rsidRPr="007E2053" w:rsidRDefault="00B95719" w:rsidP="00B95719">
      <w:pPr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942A04" w:rsidRPr="007E2053" w:rsidRDefault="00B95719" w:rsidP="00B95719">
      <w:pPr>
        <w:spacing w:line="240" w:lineRule="auto"/>
        <w:rPr>
          <w:noProof/>
          <w:szCs w:val="22"/>
          <w:lang w:val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Úplný zoznam pomocných látok, pozri časť 6.1.</w:t>
      </w:r>
    </w:p>
    <w:p w:rsidR="00942A04" w:rsidRPr="007E2053" w:rsidRDefault="00942A04" w:rsidP="0029034C">
      <w:pPr>
        <w:spacing w:line="240" w:lineRule="auto"/>
        <w:rPr>
          <w:noProof/>
          <w:szCs w:val="22"/>
          <w:lang w:val="sk-SK"/>
        </w:rPr>
      </w:pPr>
    </w:p>
    <w:p w:rsidR="00B95719" w:rsidRPr="007E2053" w:rsidRDefault="00B95719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7C6E4E">
      <w:pPr>
        <w:pStyle w:val="Nadpis1"/>
        <w:rPr>
          <w:lang w:val="sk-SK"/>
        </w:rPr>
      </w:pPr>
      <w:r w:rsidRPr="007E2053">
        <w:rPr>
          <w:lang w:val="sk-SK"/>
        </w:rPr>
        <w:t>3.</w:t>
      </w:r>
      <w:r w:rsidRPr="007E2053">
        <w:rPr>
          <w:lang w:val="sk-SK"/>
        </w:rPr>
        <w:tab/>
      </w:r>
      <w:r w:rsidR="008F202D" w:rsidRPr="007E2053">
        <w:rPr>
          <w:lang w:val="sk-SK"/>
        </w:rPr>
        <w:t>LIEKOVÁ FORMA</w:t>
      </w:r>
    </w:p>
    <w:p w:rsidR="001F4901" w:rsidRPr="007E2053" w:rsidRDefault="001F4901" w:rsidP="0029034C">
      <w:pPr>
        <w:keepNext/>
        <w:spacing w:line="240" w:lineRule="auto"/>
        <w:rPr>
          <w:noProof/>
          <w:szCs w:val="22"/>
          <w:lang w:val="sk-SK"/>
        </w:rPr>
      </w:pPr>
    </w:p>
    <w:p w:rsidR="00B95719" w:rsidRPr="007E2053" w:rsidRDefault="00B95719" w:rsidP="00B9571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Filmom obalená tableta (tableta). </w:t>
      </w:r>
    </w:p>
    <w:p w:rsidR="00B95719" w:rsidRPr="007E2053" w:rsidRDefault="00B95719" w:rsidP="00B9571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DA6ABF" w:rsidRPr="00286A64" w:rsidRDefault="00DA6ABF" w:rsidP="00DA6ABF">
      <w:pPr>
        <w:autoSpaceDE w:val="0"/>
        <w:autoSpaceDN w:val="0"/>
        <w:adjustRightInd w:val="0"/>
        <w:rPr>
          <w:rFonts w:eastAsia="Calibri"/>
          <w:color w:val="000000"/>
          <w:szCs w:val="22"/>
          <w:lang w:val="sk-SK"/>
        </w:rPr>
      </w:pPr>
      <w:r w:rsidRPr="00286A64">
        <w:rPr>
          <w:rFonts w:eastAsia="Calibri"/>
          <w:color w:val="000000"/>
          <w:szCs w:val="22"/>
          <w:lang w:val="sk-SK"/>
        </w:rPr>
        <w:t xml:space="preserve">CINAMED je svetlozelená, oválna, filmom obalená tableta s označením </w:t>
      </w:r>
      <w:r w:rsidR="00EA6072" w:rsidRPr="00286A64">
        <w:rPr>
          <w:rFonts w:eastAsia="Calibri"/>
          <w:color w:val="000000"/>
          <w:szCs w:val="22"/>
          <w:lang w:val="sk-SK"/>
        </w:rPr>
        <w:t>„30“ alebo</w:t>
      </w:r>
      <w:r w:rsidRPr="00286A64">
        <w:rPr>
          <w:rFonts w:eastAsia="Calibri"/>
          <w:color w:val="000000"/>
          <w:szCs w:val="22"/>
          <w:lang w:val="sk-SK"/>
        </w:rPr>
        <w:t xml:space="preserve"> „60“</w:t>
      </w:r>
      <w:r w:rsidR="00EA6072" w:rsidRPr="00286A64">
        <w:rPr>
          <w:rFonts w:eastAsia="Calibri"/>
          <w:color w:val="000000"/>
          <w:szCs w:val="22"/>
          <w:lang w:val="sk-SK"/>
        </w:rPr>
        <w:t xml:space="preserve"> </w:t>
      </w:r>
      <w:r w:rsidRPr="00286A64">
        <w:rPr>
          <w:rFonts w:eastAsia="Calibri"/>
          <w:color w:val="000000"/>
          <w:szCs w:val="22"/>
          <w:lang w:val="sk-SK"/>
        </w:rPr>
        <w:t xml:space="preserve">na jednej strane. </w:t>
      </w:r>
    </w:p>
    <w:p w:rsidR="00DA6ABF" w:rsidRPr="00286A64" w:rsidRDefault="00DA6ABF" w:rsidP="00DA6ABF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val="sk-SK"/>
        </w:rPr>
      </w:pPr>
      <w:r w:rsidRPr="00286A64">
        <w:rPr>
          <w:rFonts w:eastAsia="Calibri"/>
          <w:color w:val="000000"/>
          <w:szCs w:val="22"/>
          <w:lang w:val="sk-SK"/>
        </w:rPr>
        <w:t xml:space="preserve">Veľkosť 30 mg tablety je približne </w:t>
      </w:r>
      <w:r w:rsidRPr="00286A64">
        <w:rPr>
          <w:rFonts w:eastAsia="Calibri"/>
          <w:color w:val="000000"/>
          <w:sz w:val="23"/>
          <w:szCs w:val="23"/>
          <w:lang w:val="sk-SK"/>
        </w:rPr>
        <w:t>8,1 mm x 5,2 mm.</w:t>
      </w:r>
    </w:p>
    <w:p w:rsidR="00DA6ABF" w:rsidRPr="00F374BA" w:rsidRDefault="00DA6ABF" w:rsidP="00DA6ABF">
      <w:pPr>
        <w:pStyle w:val="Default"/>
        <w:rPr>
          <w:rFonts w:eastAsia="Calibri"/>
          <w:sz w:val="23"/>
          <w:szCs w:val="23"/>
        </w:rPr>
      </w:pPr>
      <w:r w:rsidRPr="00F374BA">
        <w:rPr>
          <w:rFonts w:eastAsia="Calibri"/>
          <w:sz w:val="22"/>
          <w:szCs w:val="22"/>
        </w:rPr>
        <w:t xml:space="preserve">Veľkosť 60 mg tablety je približne </w:t>
      </w:r>
      <w:r w:rsidRPr="00F374BA">
        <w:rPr>
          <w:rFonts w:eastAsia="Calibri"/>
          <w:sz w:val="23"/>
          <w:szCs w:val="23"/>
        </w:rPr>
        <w:t>10,0 mm x 6,</w:t>
      </w:r>
      <w:r>
        <w:rPr>
          <w:rFonts w:eastAsia="Calibri"/>
          <w:sz w:val="23"/>
          <w:szCs w:val="23"/>
        </w:rPr>
        <w:t>3 mm.</w:t>
      </w:r>
    </w:p>
    <w:p w:rsidR="00570ACD" w:rsidRPr="007E2053" w:rsidRDefault="00570ACD" w:rsidP="0029034C">
      <w:pPr>
        <w:spacing w:line="240" w:lineRule="auto"/>
        <w:rPr>
          <w:noProof/>
          <w:szCs w:val="22"/>
          <w:lang w:val="sk-SK"/>
        </w:rPr>
      </w:pPr>
    </w:p>
    <w:p w:rsidR="00B95719" w:rsidRPr="007E2053" w:rsidRDefault="00B95719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7C6E4E">
      <w:pPr>
        <w:pStyle w:val="Nadpis1"/>
        <w:rPr>
          <w:caps/>
          <w:lang w:val="sk-SK"/>
        </w:rPr>
      </w:pPr>
      <w:r w:rsidRPr="007E2053">
        <w:rPr>
          <w:caps/>
          <w:lang w:val="sk-SK"/>
        </w:rPr>
        <w:t>4.</w:t>
      </w:r>
      <w:r w:rsidRPr="007E2053">
        <w:rPr>
          <w:caps/>
          <w:lang w:val="sk-SK"/>
        </w:rPr>
        <w:tab/>
      </w:r>
      <w:r w:rsidR="00F544A9" w:rsidRPr="007E2053">
        <w:rPr>
          <w:lang w:val="sk-SK"/>
        </w:rPr>
        <w:t>KLINICKÉ ÚDAJE</w:t>
      </w:r>
    </w:p>
    <w:p w:rsidR="001F4901" w:rsidRPr="007E2053" w:rsidRDefault="001F4901" w:rsidP="0029034C">
      <w:pPr>
        <w:keepNext/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29034C">
      <w:pPr>
        <w:keepNext/>
        <w:spacing w:line="240" w:lineRule="auto"/>
        <w:ind w:left="567" w:hanging="567"/>
        <w:outlineLvl w:val="0"/>
        <w:rPr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4.1</w:t>
      </w:r>
      <w:r w:rsidRPr="007E2053">
        <w:rPr>
          <w:b/>
          <w:noProof/>
          <w:szCs w:val="22"/>
          <w:lang w:val="sk-SK"/>
        </w:rPr>
        <w:tab/>
      </w:r>
      <w:r w:rsidR="00F544A9" w:rsidRPr="007E2053">
        <w:rPr>
          <w:b/>
          <w:noProof/>
          <w:szCs w:val="22"/>
          <w:lang w:val="sk-SK"/>
        </w:rPr>
        <w:t>Terapeutické indikácie</w:t>
      </w:r>
    </w:p>
    <w:p w:rsidR="001F4901" w:rsidRPr="007E2053" w:rsidRDefault="001F4901" w:rsidP="0029034C">
      <w:pPr>
        <w:keepNext/>
        <w:spacing w:line="240" w:lineRule="auto"/>
        <w:rPr>
          <w:noProof/>
          <w:szCs w:val="22"/>
          <w:lang w:val="sk-SK"/>
        </w:rPr>
      </w:pP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Sekundárna hyperparatyreóza </w:t>
      </w:r>
    </w:p>
    <w:p w:rsidR="00F73405" w:rsidRDefault="00F73405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Dospelí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Liečba </w:t>
      </w:r>
      <w:r w:rsidRPr="002708D3">
        <w:rPr>
          <w:rFonts w:eastAsia="SimSun"/>
          <w:color w:val="000000"/>
          <w:szCs w:val="22"/>
          <w:lang w:val="sk-SK" w:eastAsia="sk-SK"/>
        </w:rPr>
        <w:t>sekundárnej hyperparatyreózy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(HPT) u dospelých pacientov s konečným štádiom renálneho ochorenia (ESRD</w:t>
      </w:r>
      <w:r w:rsidR="00A320D1">
        <w:rPr>
          <w:rFonts w:eastAsia="SimSun"/>
          <w:color w:val="000000"/>
          <w:szCs w:val="22"/>
          <w:lang w:val="sk-SK" w:eastAsia="sk-SK"/>
        </w:rPr>
        <w:t>,</w:t>
      </w:r>
      <w:r w:rsidR="00F73405">
        <w:rPr>
          <w:rFonts w:eastAsia="SimSun"/>
          <w:color w:val="000000"/>
          <w:szCs w:val="22"/>
          <w:lang w:val="sk-SK" w:eastAsia="sk-SK"/>
        </w:rPr>
        <w:t xml:space="preserve"> z angl</w:t>
      </w:r>
      <w:r w:rsidR="00F73405" w:rsidRPr="00286A64">
        <w:rPr>
          <w:rFonts w:eastAsia="SimSun"/>
          <w:color w:val="000000"/>
          <w:szCs w:val="22"/>
          <w:lang w:val="sk-SK" w:eastAsia="sk-SK"/>
        </w:rPr>
        <w:t xml:space="preserve">. </w:t>
      </w:r>
      <w:r w:rsidR="003B3941" w:rsidRPr="00286A64">
        <w:rPr>
          <w:rFonts w:eastAsia="SimSun"/>
          <w:color w:val="000000"/>
          <w:szCs w:val="22"/>
          <w:lang w:val="sk-SK" w:eastAsia="sk-SK"/>
        </w:rPr>
        <w:t>E</w:t>
      </w:r>
      <w:r w:rsidR="00F73405" w:rsidRPr="00286A64">
        <w:rPr>
          <w:rFonts w:eastAsia="SimSun"/>
          <w:color w:val="000000"/>
          <w:szCs w:val="22"/>
          <w:lang w:val="sk-SK" w:eastAsia="sk-SK"/>
        </w:rPr>
        <w:t xml:space="preserve">nd </w:t>
      </w:r>
      <w:r w:rsidR="003B3941" w:rsidRPr="00286A64">
        <w:rPr>
          <w:rFonts w:eastAsia="SimSun"/>
          <w:color w:val="000000"/>
          <w:szCs w:val="22"/>
          <w:lang w:val="sk-SK" w:eastAsia="sk-SK"/>
        </w:rPr>
        <w:t>S</w:t>
      </w:r>
      <w:r w:rsidR="00F73405" w:rsidRPr="00286A64">
        <w:rPr>
          <w:rFonts w:eastAsia="SimSun"/>
          <w:color w:val="000000"/>
          <w:szCs w:val="22"/>
          <w:lang w:val="sk-SK" w:eastAsia="sk-SK"/>
        </w:rPr>
        <w:t xml:space="preserve">tage </w:t>
      </w:r>
      <w:r w:rsidR="003B3941" w:rsidRPr="00286A64">
        <w:rPr>
          <w:rFonts w:eastAsia="SimSun"/>
          <w:color w:val="000000"/>
          <w:szCs w:val="22"/>
          <w:lang w:val="sk-SK" w:eastAsia="sk-SK"/>
        </w:rPr>
        <w:t>R</w:t>
      </w:r>
      <w:r w:rsidR="00F73405" w:rsidRPr="00286A64">
        <w:rPr>
          <w:rFonts w:eastAsia="SimSun"/>
          <w:color w:val="000000"/>
          <w:szCs w:val="22"/>
          <w:lang w:val="sk-SK" w:eastAsia="sk-SK"/>
        </w:rPr>
        <w:t xml:space="preserve">enal </w:t>
      </w:r>
      <w:r w:rsidR="003B3941" w:rsidRPr="00286A64">
        <w:rPr>
          <w:rFonts w:eastAsia="SimSun"/>
          <w:color w:val="000000"/>
          <w:szCs w:val="22"/>
          <w:lang w:val="sk-SK" w:eastAsia="sk-SK"/>
        </w:rPr>
        <w:t>D</w:t>
      </w:r>
      <w:r w:rsidR="00F73405" w:rsidRPr="00286A64">
        <w:rPr>
          <w:rFonts w:eastAsia="SimSun"/>
          <w:color w:val="000000"/>
          <w:szCs w:val="22"/>
          <w:lang w:val="sk-SK" w:eastAsia="sk-SK"/>
        </w:rPr>
        <w:t>is</w:t>
      </w:r>
      <w:r w:rsidR="00F73405">
        <w:rPr>
          <w:rFonts w:eastAsia="SimSun"/>
          <w:color w:val="000000"/>
          <w:szCs w:val="22"/>
          <w:lang w:val="sk-SK" w:eastAsia="sk-SK"/>
        </w:rPr>
        <w:t>ease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) na udržiavacej dialyzačnej liečbe.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Pediatrická populácia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Liečba sekundárnej hyperparatyreózy (HPT) u detí od 3 rokov a viac s konečným štádiom renálneho ochorenia (ESRD) na udržiavacej dialyzačnej liečbe, u ktorých sekundárna HPT nie je primerane kontrolovaná v rámci štandardnej liečby (pozri časť 4.4). </w:t>
      </w:r>
    </w:p>
    <w:p w:rsidR="003E0881" w:rsidRDefault="003E0881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5736E" w:rsidRPr="007E2053" w:rsidRDefault="00BC4C0C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CINA</w:t>
      </w:r>
      <w:r w:rsidR="0015736E" w:rsidRPr="007E2053">
        <w:rPr>
          <w:rFonts w:eastAsia="SimSun"/>
          <w:color w:val="000000"/>
          <w:szCs w:val="22"/>
          <w:lang w:val="sk-SK" w:eastAsia="sk-SK"/>
        </w:rPr>
        <w:t xml:space="preserve">MED sa môže používať ako súčasť terapeutických režimov, ktoré zahŕňajú primeranú liečbu viazačmi fosfátov a/alebo sterolmi vitamínu D (pozri časť 5.1).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Paratyreoidný karcinóm a primárna hyperparatyreóza u dospelých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Redukcia hyperkalciémie u dospelých pacientov: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after="38"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• s paratyreoidným karcinómom;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• s primárnou HPT, pre ktorých by bola indikovaná paratyreoidektómia na základe sérových hladín vápnika (ako je definované príslušnou liečebnou schémou), ale u ktorých paratyreoidektómia nie je klinicky vhodná alebo je kontraindikovaná.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F4901" w:rsidRPr="007E2053" w:rsidRDefault="001F4901" w:rsidP="00686266">
      <w:pPr>
        <w:keepNext/>
        <w:spacing w:line="240" w:lineRule="auto"/>
        <w:ind w:left="567" w:hanging="567"/>
        <w:outlineLvl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4.2</w:t>
      </w:r>
      <w:r w:rsidRPr="007E2053">
        <w:rPr>
          <w:b/>
          <w:noProof/>
          <w:szCs w:val="22"/>
          <w:lang w:val="sk-SK"/>
        </w:rPr>
        <w:tab/>
      </w:r>
      <w:r w:rsidR="004A2FAC" w:rsidRPr="007E2053">
        <w:rPr>
          <w:b/>
          <w:noProof/>
          <w:szCs w:val="22"/>
          <w:lang w:val="sk-SK"/>
        </w:rPr>
        <w:t>Dávkovanie a spôsob podávania</w:t>
      </w:r>
    </w:p>
    <w:p w:rsidR="00375404" w:rsidRPr="007E2053" w:rsidRDefault="00375404" w:rsidP="00375404">
      <w:pPr>
        <w:rPr>
          <w:szCs w:val="22"/>
          <w:u w:val="single"/>
          <w:lang w:val="sk-SK"/>
        </w:rPr>
      </w:pP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Sekundárna hyperparatyreóza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Dospelí a starší pacienti (&gt; 65 rokov)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Odporúčaná úvodná dávka u dospelých pacientov je 30 mg raz denne. Dávka lieku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 sa má titrovať každé 2 až 4 týždne po maximálnu dávku 180 mg raz denne, pokým sa nedosiahne cieľová hladina parathormónu (PTH) u dialyzovaných pacientov medzi 150-300 pg/ml (15,9-31,8 pmol/l) pomocou </w:t>
      </w:r>
      <w:r w:rsidR="00491F5B" w:rsidRPr="00491F5B">
        <w:rPr>
          <w:rFonts w:eastAsia="SimSun"/>
          <w:color w:val="000000"/>
          <w:szCs w:val="22"/>
          <w:lang w:val="sk-SK" w:eastAsia="sk-SK"/>
        </w:rPr>
        <w:t>analýzy intaktn</w:t>
      </w:r>
      <w:r w:rsidR="00491F5B">
        <w:rPr>
          <w:rFonts w:eastAsia="SimSun"/>
          <w:color w:val="000000"/>
          <w:szCs w:val="22"/>
          <w:lang w:val="sk-SK" w:eastAsia="sk-SK"/>
        </w:rPr>
        <w:t>ého</w:t>
      </w:r>
      <w:r w:rsidR="00491F5B" w:rsidRPr="00491F5B">
        <w:rPr>
          <w:rFonts w:eastAsia="SimSun"/>
          <w:color w:val="000000"/>
          <w:szCs w:val="22"/>
          <w:lang w:val="sk-SK" w:eastAsia="sk-SK"/>
        </w:rPr>
        <w:t xml:space="preserve"> </w:t>
      </w:r>
      <w:r w:rsidRPr="00491F5B">
        <w:rPr>
          <w:rFonts w:eastAsia="SimSun"/>
          <w:color w:val="000000"/>
          <w:szCs w:val="22"/>
          <w:lang w:val="sk-SK" w:eastAsia="sk-SK"/>
        </w:rPr>
        <w:t>PTH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(iPTH). Hladiny PTH majú byť vyšetrené najmenej 12 hodín po podaní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MEDU. </w:t>
      </w:r>
      <w:r w:rsidR="006E45BD">
        <w:rPr>
          <w:rFonts w:eastAsia="SimSun"/>
          <w:color w:val="000000"/>
          <w:szCs w:val="22"/>
          <w:lang w:val="sk-SK" w:eastAsia="sk-SK"/>
        </w:rPr>
        <w:t>Majú sa vziať do úvahy aktuálne odporúčania týkajúce sa liečby.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Hodnota PTH má byť stanovená 1 až 4 týždne po začatí liečby alebo úprave dávky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>MEDU. PTH sa má monitorovať približne každé 1-3 mesiace počas udržiavacej liečby. Na stanovenie hladín PTH sa môže použiť buď intaktný PTH (iPTH) alebo bio</w:t>
      </w:r>
      <w:r w:rsidR="00913D60">
        <w:rPr>
          <w:rFonts w:eastAsia="SimSun"/>
          <w:color w:val="000000"/>
          <w:szCs w:val="22"/>
          <w:lang w:val="sk-SK" w:eastAsia="sk-SK"/>
        </w:rPr>
        <w:t>-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intaktný PTH (biPTH); liečba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MEDOM nemení vzťah medzi iPTH a biPTH.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Úprava dávky na základe sérových hladín vápnika </w:t>
      </w:r>
    </w:p>
    <w:p w:rsidR="0015736E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Korigovaný sérový vápnik sa má vyšetriť a monitorovať a pred podaním prvej dávky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MEDU má byť jeho hodnota na dolnej hranici normálnych hodnôt alebo nad ňou (pozri časť 4.4). Normálne rozpätie hodnôt vápnika sa môže odlišovať v závislosti od metód, ktoré používa vaše miestne laboratórium. </w:t>
      </w:r>
    </w:p>
    <w:p w:rsidR="006E45BD" w:rsidRDefault="006E45BD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A97737" w:rsidRPr="007E2053" w:rsidRDefault="0015736E" w:rsidP="0015736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Počas titrácie dávky sa majú často monitorovať sérové hladiny vápnika a to do 1 týždňa po začatí liečby alebo úprave dávky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>MEDU. Po stanovení udržiavacej dávky sa má sérová hladina vápnika stanovovať približne raz za mesiac. V prípade, že korigované sérové hladiny vápnika klesnú pod 8,4 mg/dl (2,1 mmol/l) a/alebo sa objavia príznaky hypokalciémie, odporúča sa nasledujúci manažment:</w:t>
      </w:r>
    </w:p>
    <w:p w:rsidR="0015736E" w:rsidRPr="007E2053" w:rsidRDefault="0015736E" w:rsidP="00904B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15736E" w:rsidRPr="009770E0" w:rsidTr="009770E0">
        <w:tc>
          <w:tcPr>
            <w:tcW w:w="4605" w:type="dxa"/>
            <w:shd w:val="clear" w:color="auto" w:fill="auto"/>
          </w:tcPr>
          <w:p w:rsidR="0015736E" w:rsidRPr="009770E0" w:rsidRDefault="0015736E" w:rsidP="009770E0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9770E0">
              <w:rPr>
                <w:b/>
                <w:bCs/>
                <w:sz w:val="22"/>
                <w:szCs w:val="22"/>
                <w:lang w:val="sk-SK"/>
              </w:rPr>
              <w:t>Korigovaná sérová hodnota vápnika alebo klinické príznaky hypokalciémie</w:t>
            </w:r>
          </w:p>
          <w:p w:rsidR="0015736E" w:rsidRPr="009770E0" w:rsidRDefault="0015736E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  <w:tc>
          <w:tcPr>
            <w:tcW w:w="4606" w:type="dxa"/>
            <w:shd w:val="clear" w:color="auto" w:fill="auto"/>
          </w:tcPr>
          <w:p w:rsidR="0015736E" w:rsidRPr="009770E0" w:rsidRDefault="0015736E" w:rsidP="009770E0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9770E0">
              <w:rPr>
                <w:b/>
                <w:bCs/>
                <w:sz w:val="22"/>
                <w:szCs w:val="22"/>
                <w:lang w:val="sk-SK"/>
              </w:rPr>
              <w:t>Odporúčania</w:t>
            </w:r>
          </w:p>
          <w:p w:rsidR="0015736E" w:rsidRPr="009770E0" w:rsidRDefault="0015736E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</w:tr>
      <w:tr w:rsidR="0015736E" w:rsidRPr="009770E0" w:rsidTr="009770E0">
        <w:tc>
          <w:tcPr>
            <w:tcW w:w="4605" w:type="dxa"/>
            <w:shd w:val="clear" w:color="auto" w:fill="auto"/>
          </w:tcPr>
          <w:p w:rsidR="0015736E" w:rsidRPr="009770E0" w:rsidRDefault="0015736E" w:rsidP="0015736E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&lt; 8,4 mg/dl (2,1 mmol/l) a &gt; 7,5 mg/dl (1,9 mmol/l) alebo v prítomnosti klinických príznakov hypokalciémie </w:t>
            </w:r>
          </w:p>
          <w:p w:rsidR="0015736E" w:rsidRPr="009770E0" w:rsidRDefault="0015736E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  <w:tc>
          <w:tcPr>
            <w:tcW w:w="4606" w:type="dxa"/>
            <w:shd w:val="clear" w:color="auto" w:fill="auto"/>
          </w:tcPr>
          <w:p w:rsidR="0015736E" w:rsidRPr="009770E0" w:rsidRDefault="0015736E" w:rsidP="0015736E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Na základe klinického posúdenia sa na zvýšenie sérovej hladiny vápnika môžu použiť viazače fosfátov obsahujúce vápnik, steroly vitamínu D a/alebo úprava koncentrácie vápnika v dialyzačnom roztoku. </w:t>
            </w:r>
          </w:p>
        </w:tc>
      </w:tr>
      <w:tr w:rsidR="0015736E" w:rsidRPr="009770E0" w:rsidTr="009770E0">
        <w:tc>
          <w:tcPr>
            <w:tcW w:w="4605" w:type="dxa"/>
            <w:shd w:val="clear" w:color="auto" w:fill="auto"/>
          </w:tcPr>
          <w:p w:rsidR="0015736E" w:rsidRPr="009770E0" w:rsidRDefault="0015736E" w:rsidP="0015736E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&lt; 8,4 mg/dl (2,1 mmol/l) a &gt; 7,5 mg/dl (1,9 mmol/l), alebo ak príznaky hypokalciémie pretrvávajú aj napriek snahe o zvýšenie hladiny sérového vápnika </w:t>
            </w:r>
          </w:p>
        </w:tc>
        <w:tc>
          <w:tcPr>
            <w:tcW w:w="4606" w:type="dxa"/>
            <w:shd w:val="clear" w:color="auto" w:fill="auto"/>
          </w:tcPr>
          <w:p w:rsidR="0015736E" w:rsidRPr="009770E0" w:rsidRDefault="0015736E" w:rsidP="0015736E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Znížte alebo prerušte podávanie </w:t>
            </w:r>
            <w:r w:rsidR="00BC4C0C" w:rsidRPr="009770E0">
              <w:rPr>
                <w:sz w:val="22"/>
                <w:szCs w:val="22"/>
                <w:lang w:val="sk-SK"/>
              </w:rPr>
              <w:t>CINA</w:t>
            </w:r>
            <w:r w:rsidRPr="009770E0">
              <w:rPr>
                <w:sz w:val="22"/>
                <w:szCs w:val="22"/>
                <w:lang w:val="sk-SK"/>
              </w:rPr>
              <w:t xml:space="preserve">MEDU. </w:t>
            </w:r>
          </w:p>
          <w:p w:rsidR="0015736E" w:rsidRPr="009770E0" w:rsidRDefault="0015736E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</w:tr>
      <w:tr w:rsidR="0015736E" w:rsidRPr="009770E0" w:rsidTr="009770E0">
        <w:tc>
          <w:tcPr>
            <w:tcW w:w="4605" w:type="dxa"/>
            <w:shd w:val="clear" w:color="auto" w:fill="auto"/>
          </w:tcPr>
          <w:p w:rsidR="0015736E" w:rsidRPr="009770E0" w:rsidRDefault="0015736E" w:rsidP="0015736E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≤ 7,5 mg/dl (1,9 mmol/l), alebo ak príznaky hypokalciémie pretrvávajú a dávku vitamínu D nie je možné zvýšiť </w:t>
            </w:r>
          </w:p>
          <w:p w:rsidR="0015736E" w:rsidRPr="009770E0" w:rsidRDefault="0015736E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  <w:tc>
          <w:tcPr>
            <w:tcW w:w="4606" w:type="dxa"/>
            <w:shd w:val="clear" w:color="auto" w:fill="auto"/>
          </w:tcPr>
          <w:p w:rsidR="0015736E" w:rsidRPr="009770E0" w:rsidRDefault="0015736E" w:rsidP="0015736E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Prerušte podávanie </w:t>
            </w:r>
            <w:r w:rsidR="00BC4C0C" w:rsidRPr="009770E0">
              <w:rPr>
                <w:sz w:val="22"/>
                <w:szCs w:val="22"/>
                <w:lang w:val="sk-SK"/>
              </w:rPr>
              <w:t>CINA</w:t>
            </w:r>
            <w:r w:rsidRPr="009770E0">
              <w:rPr>
                <w:sz w:val="22"/>
                <w:szCs w:val="22"/>
                <w:lang w:val="sk-SK"/>
              </w:rPr>
              <w:t xml:space="preserve">MEDU, až kým sérové hladiny vápnika nedosiahnu 8,0 mg/dl (2,0 mmol/l), a/alebo kým neustúpia príznaky hypokalciémie. </w:t>
            </w:r>
          </w:p>
          <w:p w:rsidR="0015736E" w:rsidRPr="009770E0" w:rsidRDefault="0015736E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9770E0">
              <w:rPr>
                <w:szCs w:val="22"/>
                <w:lang w:val="sk-SK"/>
              </w:rPr>
              <w:t xml:space="preserve">Liečba sa má opätovne nasadiť pri použití </w:t>
            </w:r>
            <w:r w:rsidR="00A1440B" w:rsidRPr="009770E0">
              <w:rPr>
                <w:szCs w:val="22"/>
                <w:lang w:val="sk-SK"/>
              </w:rPr>
              <w:t>najbližšej</w:t>
            </w:r>
            <w:r w:rsidR="00C004B6" w:rsidRPr="009770E0">
              <w:rPr>
                <w:szCs w:val="22"/>
                <w:lang w:val="sk-SK"/>
              </w:rPr>
              <w:t xml:space="preserve"> </w:t>
            </w:r>
            <w:r w:rsidRPr="009770E0">
              <w:rPr>
                <w:szCs w:val="22"/>
                <w:lang w:val="sk-SK"/>
              </w:rPr>
              <w:t xml:space="preserve">najnižšej dávky </w:t>
            </w:r>
            <w:r w:rsidR="00BC4C0C" w:rsidRPr="009770E0">
              <w:rPr>
                <w:szCs w:val="22"/>
                <w:lang w:val="sk-SK"/>
              </w:rPr>
              <w:t>CINA</w:t>
            </w:r>
            <w:r w:rsidRPr="009770E0">
              <w:rPr>
                <w:szCs w:val="22"/>
                <w:lang w:val="sk-SK"/>
              </w:rPr>
              <w:t xml:space="preserve">MEDU. </w:t>
            </w:r>
          </w:p>
        </w:tc>
      </w:tr>
    </w:tbl>
    <w:p w:rsidR="0015736E" w:rsidRPr="007E2053" w:rsidRDefault="0015736E" w:rsidP="00904B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391A7D" w:rsidRPr="007E2053" w:rsidRDefault="00391A7D" w:rsidP="00391A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Pediatrická populácia </w:t>
      </w:r>
    </w:p>
    <w:p w:rsidR="00391A7D" w:rsidRPr="007E2053" w:rsidRDefault="00391A7D" w:rsidP="00391A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Hodnota korigovaného sérového vápnika má byť pred podaním prvej dávky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MEDU v hornom rozmedzí referenčného rozpätia hodnôt špecifických pre vek alebo nad ním a má byť dôkladne monitorovaná (pozri časť 4.4). Normálne rozpätie hodnôt vápnika sa môže odlišovať v závislosti od metód, ktoré používa vaše miestne laboratórium, a veku dieťaťa/pacienta. </w:t>
      </w:r>
    </w:p>
    <w:p w:rsidR="00BC4C0C" w:rsidRPr="007E2053" w:rsidRDefault="00BC4C0C" w:rsidP="00391A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391A7D" w:rsidRPr="007E2053" w:rsidRDefault="00391A7D" w:rsidP="00391A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Odporúčaná úvodná dávka pre deti vo veku ≥ 3 roky až &lt; 18 rokov je ≤ 0,20 mg/kg raz denne na základe suchej hmotnosti pacienta (pozri tabuľka 1). </w:t>
      </w:r>
    </w:p>
    <w:p w:rsidR="00391A7D" w:rsidRPr="007E2053" w:rsidRDefault="00391A7D" w:rsidP="00391A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Dávku možno zvýšiť, aby sa dosiahol požadovaný cieľový rozsah hladín iPTH. Dávka sa má zvyšovať postupne podľa dostupných dávkovacích úrovní (pozri tabuľku 1), nie častejšie, ako každé 4 týždne. </w:t>
      </w:r>
      <w:r w:rsidRPr="007E2053">
        <w:rPr>
          <w:rFonts w:eastAsia="SimSun"/>
          <w:color w:val="000000"/>
          <w:szCs w:val="22"/>
          <w:lang w:val="sk-SK" w:eastAsia="sk-SK"/>
        </w:rPr>
        <w:lastRenderedPageBreak/>
        <w:t xml:space="preserve">Dávku možno zvýšiť maximálne na 2,5 mg/kg/deň a neprekročiť pritom celkovú dennú dávku 180 mg. </w:t>
      </w:r>
    </w:p>
    <w:p w:rsidR="00391A7D" w:rsidRPr="007E2053" w:rsidRDefault="00391A7D" w:rsidP="00391A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b/>
          <w:bCs/>
          <w:color w:val="000000"/>
          <w:szCs w:val="22"/>
          <w:lang w:val="sk-SK" w:eastAsia="sk-SK"/>
        </w:rPr>
      </w:pPr>
    </w:p>
    <w:p w:rsidR="0015736E" w:rsidRPr="007E2053" w:rsidRDefault="00391A7D" w:rsidP="00391A7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b/>
          <w:bCs/>
          <w:color w:val="000000"/>
          <w:szCs w:val="22"/>
          <w:lang w:val="sk-SK" w:eastAsia="sk-SK"/>
        </w:rPr>
        <w:t xml:space="preserve">Tabuľka 1. Denná dávka </w:t>
      </w:r>
      <w:r w:rsidR="00BC4C0C" w:rsidRPr="007E2053">
        <w:rPr>
          <w:rFonts w:eastAsia="SimSun"/>
          <w:b/>
          <w:bCs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b/>
          <w:bCs/>
          <w:color w:val="000000"/>
          <w:szCs w:val="22"/>
          <w:lang w:val="sk-SK" w:eastAsia="sk-SK"/>
        </w:rPr>
        <w:t>MEDU u pediatrických pacientov</w:t>
      </w:r>
    </w:p>
    <w:p w:rsidR="0015736E" w:rsidRPr="007E2053" w:rsidRDefault="0015736E" w:rsidP="00904B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1"/>
      </w:tblGrid>
      <w:tr w:rsidR="00496FF5" w:rsidRPr="009770E0" w:rsidTr="009770E0">
        <w:tc>
          <w:tcPr>
            <w:tcW w:w="3070" w:type="dxa"/>
            <w:shd w:val="clear" w:color="auto" w:fill="auto"/>
          </w:tcPr>
          <w:p w:rsidR="00496FF5" w:rsidRPr="009770E0" w:rsidRDefault="00496FF5" w:rsidP="009770E0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9770E0">
              <w:rPr>
                <w:b/>
                <w:bCs/>
                <w:sz w:val="22"/>
                <w:szCs w:val="22"/>
                <w:lang w:val="sk-SK"/>
              </w:rPr>
              <w:t>Suchá hmotnosť pacienta (kg)</w:t>
            </w:r>
          </w:p>
          <w:p w:rsidR="00496FF5" w:rsidRPr="009770E0" w:rsidRDefault="00496FF5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  <w:tc>
          <w:tcPr>
            <w:tcW w:w="3070" w:type="dxa"/>
            <w:shd w:val="clear" w:color="auto" w:fill="auto"/>
          </w:tcPr>
          <w:p w:rsidR="00496FF5" w:rsidRPr="009770E0" w:rsidRDefault="00496FF5" w:rsidP="009770E0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9770E0">
              <w:rPr>
                <w:b/>
                <w:bCs/>
                <w:sz w:val="22"/>
                <w:szCs w:val="22"/>
                <w:lang w:val="sk-SK"/>
              </w:rPr>
              <w:t>Úvodná dávka (mg)</w:t>
            </w:r>
          </w:p>
          <w:p w:rsidR="00496FF5" w:rsidRPr="009770E0" w:rsidRDefault="00496FF5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  <w:tc>
          <w:tcPr>
            <w:tcW w:w="3071" w:type="dxa"/>
            <w:shd w:val="clear" w:color="auto" w:fill="auto"/>
          </w:tcPr>
          <w:p w:rsidR="00496FF5" w:rsidRPr="009770E0" w:rsidRDefault="00496FF5" w:rsidP="009770E0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9770E0">
              <w:rPr>
                <w:b/>
                <w:bCs/>
                <w:sz w:val="22"/>
                <w:szCs w:val="22"/>
                <w:lang w:val="sk-SK"/>
              </w:rPr>
              <w:t>Dostupné sekvenčné úrovne dávky (mg)</w:t>
            </w:r>
          </w:p>
        </w:tc>
      </w:tr>
      <w:tr w:rsidR="00496FF5" w:rsidRPr="009770E0" w:rsidTr="009770E0">
        <w:tc>
          <w:tcPr>
            <w:tcW w:w="3070" w:type="dxa"/>
            <w:shd w:val="clear" w:color="auto" w:fill="auto"/>
          </w:tcPr>
          <w:p w:rsidR="00496FF5" w:rsidRPr="009770E0" w:rsidRDefault="00496FF5" w:rsidP="00642D66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>10 až &lt; 12,5</w:t>
            </w:r>
          </w:p>
        </w:tc>
        <w:tc>
          <w:tcPr>
            <w:tcW w:w="3070" w:type="dxa"/>
            <w:shd w:val="clear" w:color="auto" w:fill="auto"/>
          </w:tcPr>
          <w:p w:rsidR="00496FF5" w:rsidRPr="009770E0" w:rsidRDefault="00496FF5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9770E0">
              <w:rPr>
                <w:rFonts w:eastAsia="SimSun"/>
                <w:color w:val="000000"/>
                <w:szCs w:val="22"/>
                <w:lang w:val="sk-SK" w:eastAsia="sk-SK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496FF5" w:rsidRPr="009770E0" w:rsidRDefault="00496FF5" w:rsidP="00496FF5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1; 2,5; 5; 7,5; 10 a 15 </w:t>
            </w:r>
          </w:p>
        </w:tc>
      </w:tr>
      <w:tr w:rsidR="00496FF5" w:rsidRPr="009770E0" w:rsidTr="009770E0">
        <w:tc>
          <w:tcPr>
            <w:tcW w:w="3070" w:type="dxa"/>
            <w:shd w:val="clear" w:color="auto" w:fill="auto"/>
          </w:tcPr>
          <w:p w:rsidR="00496FF5" w:rsidRPr="009770E0" w:rsidRDefault="00496FF5" w:rsidP="00642D66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>≥ 12,5 až &lt; 25</w:t>
            </w:r>
          </w:p>
        </w:tc>
        <w:tc>
          <w:tcPr>
            <w:tcW w:w="3070" w:type="dxa"/>
            <w:shd w:val="clear" w:color="auto" w:fill="auto"/>
          </w:tcPr>
          <w:p w:rsidR="00496FF5" w:rsidRPr="009770E0" w:rsidRDefault="00496FF5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9770E0">
              <w:rPr>
                <w:rFonts w:eastAsia="SimSun"/>
                <w:color w:val="000000"/>
                <w:szCs w:val="22"/>
                <w:lang w:val="sk-SK" w:eastAsia="sk-SK"/>
              </w:rPr>
              <w:t>2,5</w:t>
            </w:r>
          </w:p>
        </w:tc>
        <w:tc>
          <w:tcPr>
            <w:tcW w:w="3071" w:type="dxa"/>
            <w:shd w:val="clear" w:color="auto" w:fill="auto"/>
          </w:tcPr>
          <w:p w:rsidR="00496FF5" w:rsidRPr="009770E0" w:rsidRDefault="00496FF5" w:rsidP="00496FF5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2,5; 5; 7,5; 10; 15 a 30 </w:t>
            </w:r>
          </w:p>
        </w:tc>
      </w:tr>
      <w:tr w:rsidR="00496FF5" w:rsidRPr="009770E0" w:rsidTr="009770E0">
        <w:tc>
          <w:tcPr>
            <w:tcW w:w="3070" w:type="dxa"/>
            <w:shd w:val="clear" w:color="auto" w:fill="auto"/>
          </w:tcPr>
          <w:p w:rsidR="00496FF5" w:rsidRPr="009770E0" w:rsidRDefault="00496FF5" w:rsidP="00642D66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>≥ 25 až &lt; 36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496FF5" w:rsidRPr="009770E0" w:rsidRDefault="00496FF5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9770E0">
              <w:rPr>
                <w:rFonts w:eastAsia="SimSun"/>
                <w:color w:val="000000"/>
                <w:szCs w:val="22"/>
                <w:lang w:val="sk-SK" w:eastAsia="sk-SK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496FF5" w:rsidRPr="009770E0" w:rsidRDefault="00496FF5" w:rsidP="00496FF5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5; 10; 15; 30 a 60 </w:t>
            </w:r>
          </w:p>
        </w:tc>
      </w:tr>
      <w:tr w:rsidR="00496FF5" w:rsidRPr="009770E0" w:rsidTr="009770E0">
        <w:tc>
          <w:tcPr>
            <w:tcW w:w="3070" w:type="dxa"/>
            <w:shd w:val="clear" w:color="auto" w:fill="auto"/>
          </w:tcPr>
          <w:p w:rsidR="00496FF5" w:rsidRPr="009770E0" w:rsidRDefault="00496FF5" w:rsidP="00642D66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>≥ 36 až &lt; 50</w:t>
            </w:r>
          </w:p>
        </w:tc>
        <w:tc>
          <w:tcPr>
            <w:tcW w:w="3070" w:type="dxa"/>
            <w:vMerge/>
            <w:shd w:val="clear" w:color="auto" w:fill="auto"/>
          </w:tcPr>
          <w:p w:rsidR="00496FF5" w:rsidRPr="009770E0" w:rsidRDefault="00496FF5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  <w:tc>
          <w:tcPr>
            <w:tcW w:w="3071" w:type="dxa"/>
            <w:shd w:val="clear" w:color="auto" w:fill="auto"/>
          </w:tcPr>
          <w:p w:rsidR="00496FF5" w:rsidRPr="009770E0" w:rsidRDefault="00496FF5" w:rsidP="00496FF5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5; 10; 15; 30; 60 a 90 </w:t>
            </w:r>
          </w:p>
        </w:tc>
      </w:tr>
      <w:tr w:rsidR="00496FF5" w:rsidRPr="009770E0" w:rsidTr="009770E0">
        <w:tc>
          <w:tcPr>
            <w:tcW w:w="3070" w:type="dxa"/>
            <w:shd w:val="clear" w:color="auto" w:fill="auto"/>
          </w:tcPr>
          <w:p w:rsidR="00496FF5" w:rsidRPr="009770E0" w:rsidRDefault="00496FF5" w:rsidP="00642D66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>≥ 50 až &lt; 75</w:t>
            </w:r>
          </w:p>
        </w:tc>
        <w:tc>
          <w:tcPr>
            <w:tcW w:w="3070" w:type="dxa"/>
            <w:shd w:val="clear" w:color="auto" w:fill="auto"/>
          </w:tcPr>
          <w:p w:rsidR="00496FF5" w:rsidRPr="009770E0" w:rsidRDefault="00496FF5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9770E0">
              <w:rPr>
                <w:rFonts w:eastAsia="SimSun"/>
                <w:color w:val="000000"/>
                <w:szCs w:val="22"/>
                <w:lang w:val="sk-SK" w:eastAsia="sk-SK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496FF5" w:rsidRPr="009770E0" w:rsidRDefault="00496FF5" w:rsidP="00496FF5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10; 15; 30; 60; 90 a 120 </w:t>
            </w:r>
          </w:p>
        </w:tc>
      </w:tr>
      <w:tr w:rsidR="00496FF5" w:rsidRPr="009770E0" w:rsidTr="009770E0">
        <w:tc>
          <w:tcPr>
            <w:tcW w:w="3070" w:type="dxa"/>
            <w:shd w:val="clear" w:color="auto" w:fill="auto"/>
          </w:tcPr>
          <w:p w:rsidR="00496FF5" w:rsidRPr="009770E0" w:rsidRDefault="00496FF5" w:rsidP="00642D66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>≥ 75</w:t>
            </w:r>
          </w:p>
        </w:tc>
        <w:tc>
          <w:tcPr>
            <w:tcW w:w="3070" w:type="dxa"/>
            <w:shd w:val="clear" w:color="auto" w:fill="auto"/>
          </w:tcPr>
          <w:p w:rsidR="00496FF5" w:rsidRPr="009770E0" w:rsidRDefault="00496FF5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9770E0">
              <w:rPr>
                <w:rFonts w:eastAsia="SimSun"/>
                <w:color w:val="000000"/>
                <w:szCs w:val="22"/>
                <w:lang w:val="sk-SK" w:eastAsia="sk-SK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496FF5" w:rsidRPr="009770E0" w:rsidRDefault="00496FF5" w:rsidP="00496FF5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15; 30; 60; 90; 120 a 180 </w:t>
            </w:r>
          </w:p>
        </w:tc>
      </w:tr>
    </w:tbl>
    <w:p w:rsidR="00391A7D" w:rsidRPr="007E2053" w:rsidRDefault="00391A7D" w:rsidP="00904B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Úprava dávky na základe hladín PTH </w:t>
      </w: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Hodnota PTH má byť vyšetrená najmenej 12 hodín po podaní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MEDU a hodnota iPTH má byť meraná 1 až 4 týždne po začatí liečby alebo úprave dávky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MEDU. </w:t>
      </w: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Dávka sa má upraviť podľa hladín iPTH tak, ako je uvedené ďalej: </w:t>
      </w: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after="40"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• Ak je iPTH &lt; 150 pg/ml (15,9 pmol/l) a ≥ 100 pg/ml (10,6 pmol/l), dávku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MEDU znížte na najbližšiu nižšiu úroveň. </w:t>
      </w: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• Ak je iPTH &lt; 100 pg/ml (10,6 pmol/l), prerušte liečbu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MEDOM; keď iPTH bude &gt; 150 pg/ml (15,9 pmol/l), liečbu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MEDOM obnovte najbližšou nižšou dávkou. Ak bola liečba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MEDOM prerušená viac ako 14 dní, obnovte ju odporúčanou úvodnou dávkou. </w:t>
      </w: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Úprava dávky na základe sérových hladín vápnika </w:t>
      </w:r>
    </w:p>
    <w:p w:rsidR="00391A7D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Sérová hladina vápnika má byť stanovená do 1 týždňa po začatí liečby alebo úprave dávky </w:t>
      </w:r>
      <w:r w:rsidR="00BC4C0C" w:rsidRPr="007E2053">
        <w:rPr>
          <w:rFonts w:eastAsia="SimSun"/>
          <w:color w:val="000000"/>
          <w:szCs w:val="22"/>
          <w:lang w:val="sk-SK" w:eastAsia="sk-SK"/>
        </w:rPr>
        <w:t>CINA</w:t>
      </w:r>
      <w:r w:rsidRPr="007E2053">
        <w:rPr>
          <w:rFonts w:eastAsia="SimSun"/>
          <w:color w:val="000000"/>
          <w:szCs w:val="22"/>
          <w:lang w:val="sk-SK" w:eastAsia="sk-SK"/>
        </w:rPr>
        <w:t>MEDU.</w:t>
      </w:r>
    </w:p>
    <w:p w:rsidR="00391A7D" w:rsidRPr="007E2053" w:rsidRDefault="00391A7D" w:rsidP="00904B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Po stanovení udržiavacej dávky sa odporúča stanovovať hladiny sérového vápnika každý týždeň. Hladiny sérového vápnika u pediatrických pacientov sa majú udržiavať v normálnom rozmedzí. Ak sa sérové hladiny vápnika znížia pod normálnu hranicu alebo sa objavia príznaky hypokalciémie, má sa prijať vhodná úprava dávky, ako je uvedené v nasledujúcej tabuľke 2: </w:t>
      </w:r>
    </w:p>
    <w:p w:rsidR="00A1440B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b/>
          <w:bCs/>
          <w:color w:val="000000"/>
          <w:szCs w:val="22"/>
          <w:lang w:val="sk-SK" w:eastAsia="sk-SK"/>
        </w:rPr>
      </w:pPr>
    </w:p>
    <w:p w:rsidR="00D62430" w:rsidRPr="007E2053" w:rsidRDefault="00D62430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b/>
          <w:bCs/>
          <w:color w:val="000000"/>
          <w:szCs w:val="22"/>
          <w:lang w:val="sk-SK" w:eastAsia="sk-SK"/>
        </w:rPr>
      </w:pP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b/>
          <w:bCs/>
          <w:color w:val="000000"/>
          <w:szCs w:val="22"/>
          <w:lang w:val="sk-SK" w:eastAsia="sk-SK"/>
        </w:rPr>
      </w:pPr>
      <w:r w:rsidRPr="007E2053">
        <w:rPr>
          <w:rFonts w:eastAsia="SimSun"/>
          <w:b/>
          <w:bCs/>
          <w:color w:val="000000"/>
          <w:szCs w:val="22"/>
          <w:lang w:val="sk-SK" w:eastAsia="sk-SK"/>
        </w:rPr>
        <w:t>Tabuľka 2: Úprava dávky u pediatrických pacientov vo veku ≥ 3 až &lt; 18 rokov</w:t>
      </w:r>
    </w:p>
    <w:p w:rsidR="00A1440B" w:rsidRPr="007E2053" w:rsidRDefault="00A1440B" w:rsidP="00A144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A1440B" w:rsidRPr="009770E0" w:rsidTr="009770E0">
        <w:trPr>
          <w:tblHeader/>
        </w:trPr>
        <w:tc>
          <w:tcPr>
            <w:tcW w:w="4605" w:type="dxa"/>
            <w:shd w:val="clear" w:color="auto" w:fill="auto"/>
          </w:tcPr>
          <w:p w:rsidR="00A1440B" w:rsidRPr="009770E0" w:rsidRDefault="00A1440B" w:rsidP="009770E0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9770E0">
              <w:rPr>
                <w:b/>
                <w:bCs/>
                <w:sz w:val="22"/>
                <w:szCs w:val="22"/>
                <w:lang w:val="sk-SK"/>
              </w:rPr>
              <w:t>Korigovaná sérová hodnota vápnika alebo klinické príznaky hypokalciémie</w:t>
            </w:r>
          </w:p>
          <w:p w:rsidR="00A1440B" w:rsidRPr="009770E0" w:rsidRDefault="00A1440B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  <w:tc>
          <w:tcPr>
            <w:tcW w:w="4606" w:type="dxa"/>
            <w:shd w:val="clear" w:color="auto" w:fill="auto"/>
          </w:tcPr>
          <w:p w:rsidR="00A1440B" w:rsidRPr="009770E0" w:rsidRDefault="00A1440B" w:rsidP="009770E0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9770E0">
              <w:rPr>
                <w:b/>
                <w:bCs/>
                <w:sz w:val="22"/>
                <w:szCs w:val="22"/>
                <w:lang w:val="sk-SK"/>
              </w:rPr>
              <w:t xml:space="preserve">Odporúčania na dávkovanie </w:t>
            </w:r>
          </w:p>
          <w:p w:rsidR="00A1440B" w:rsidRPr="009770E0" w:rsidRDefault="00A1440B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/>
                <w:color w:val="000000"/>
                <w:szCs w:val="22"/>
                <w:lang w:val="sk-SK" w:eastAsia="sk-SK"/>
              </w:rPr>
            </w:pPr>
          </w:p>
        </w:tc>
      </w:tr>
      <w:tr w:rsidR="00A1440B" w:rsidRPr="009770E0" w:rsidTr="009770E0">
        <w:tc>
          <w:tcPr>
            <w:tcW w:w="4605" w:type="dxa"/>
            <w:shd w:val="clear" w:color="auto" w:fill="auto"/>
          </w:tcPr>
          <w:p w:rsidR="00A1440B" w:rsidRPr="009770E0" w:rsidRDefault="00A1440B" w:rsidP="00A1440B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Korigovaná koncentrácia sérového vápnika je na dolnej hranici normálnych hodnôt podľa veku alebo pod ňou </w:t>
            </w:r>
          </w:p>
          <w:p w:rsidR="00A1440B" w:rsidRPr="009770E0" w:rsidRDefault="00A1440B" w:rsidP="00A1440B">
            <w:pPr>
              <w:pStyle w:val="Default"/>
              <w:rPr>
                <w:sz w:val="22"/>
                <w:szCs w:val="22"/>
                <w:u w:val="single"/>
                <w:lang w:val="sk-SK"/>
              </w:rPr>
            </w:pPr>
            <w:r w:rsidRPr="009770E0">
              <w:rPr>
                <w:sz w:val="22"/>
                <w:szCs w:val="22"/>
                <w:u w:val="single"/>
                <w:lang w:val="sk-SK"/>
              </w:rPr>
              <w:t xml:space="preserve">alebo </w:t>
            </w:r>
          </w:p>
          <w:p w:rsidR="00A1440B" w:rsidRPr="009770E0" w:rsidRDefault="00A1440B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9770E0">
              <w:rPr>
                <w:szCs w:val="22"/>
                <w:lang w:val="sk-SK"/>
              </w:rPr>
              <w:t xml:space="preserve">ak sa objavia príznaky hypokalciémie, bez ohľadu na hladinu vápnika. </w:t>
            </w:r>
          </w:p>
        </w:tc>
        <w:tc>
          <w:tcPr>
            <w:tcW w:w="4606" w:type="dxa"/>
            <w:shd w:val="clear" w:color="auto" w:fill="auto"/>
          </w:tcPr>
          <w:p w:rsidR="00A1440B" w:rsidRPr="009770E0" w:rsidRDefault="00A1440B" w:rsidP="00A1440B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Prerušte liečbu </w:t>
            </w:r>
            <w:r w:rsidR="00BC4C0C" w:rsidRPr="009770E0">
              <w:rPr>
                <w:sz w:val="22"/>
                <w:szCs w:val="22"/>
                <w:lang w:val="sk-SK"/>
              </w:rPr>
              <w:t>CINA</w:t>
            </w:r>
            <w:r w:rsidRPr="009770E0">
              <w:rPr>
                <w:sz w:val="22"/>
                <w:szCs w:val="22"/>
                <w:lang w:val="sk-SK"/>
              </w:rPr>
              <w:t xml:space="preserve">MEDOM.* </w:t>
            </w:r>
          </w:p>
          <w:p w:rsidR="00A1440B" w:rsidRPr="009770E0" w:rsidRDefault="00A1440B" w:rsidP="00A1440B">
            <w:pPr>
              <w:pStyle w:val="Default"/>
              <w:rPr>
                <w:sz w:val="22"/>
                <w:szCs w:val="22"/>
                <w:lang w:val="sk-SK"/>
              </w:rPr>
            </w:pPr>
          </w:p>
          <w:p w:rsidR="00A1440B" w:rsidRPr="009770E0" w:rsidRDefault="00A1440B" w:rsidP="00A1440B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Podávajte doplnky vápnika, viazače fosfátov obsahujúce vápnik a/alebo steroly vitamínu D, ak je to klinicky indikované. </w:t>
            </w:r>
          </w:p>
        </w:tc>
      </w:tr>
      <w:tr w:rsidR="00A1440B" w:rsidRPr="009770E0" w:rsidTr="009770E0">
        <w:tc>
          <w:tcPr>
            <w:tcW w:w="4605" w:type="dxa"/>
            <w:shd w:val="clear" w:color="auto" w:fill="auto"/>
          </w:tcPr>
          <w:p w:rsidR="006C03FE" w:rsidRPr="00173100" w:rsidRDefault="00BC4C0C" w:rsidP="00BC4C0C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Korigovaná koncentrácia celkového sérového </w:t>
            </w:r>
            <w:r w:rsidRPr="00173100">
              <w:rPr>
                <w:sz w:val="22"/>
                <w:szCs w:val="22"/>
                <w:lang w:val="sk-SK"/>
              </w:rPr>
              <w:t xml:space="preserve">vápnika je nad dolnou hranicou normálnych hodnôt podľa veku </w:t>
            </w:r>
          </w:p>
          <w:p w:rsidR="00BC4C0C" w:rsidRPr="009770E0" w:rsidRDefault="00BC4C0C" w:rsidP="00BC4C0C">
            <w:pPr>
              <w:pStyle w:val="Default"/>
              <w:rPr>
                <w:sz w:val="22"/>
                <w:szCs w:val="22"/>
                <w:lang w:val="sk-SK"/>
              </w:rPr>
            </w:pPr>
            <w:r w:rsidRPr="00173100">
              <w:rPr>
                <w:sz w:val="22"/>
                <w:szCs w:val="22"/>
                <w:u w:val="single"/>
                <w:lang w:val="sk-SK"/>
              </w:rPr>
              <w:t>a</w:t>
            </w:r>
            <w:r w:rsidRPr="009770E0">
              <w:rPr>
                <w:sz w:val="22"/>
                <w:szCs w:val="22"/>
                <w:u w:val="single"/>
                <w:lang w:val="sk-SK"/>
              </w:rPr>
              <w:t xml:space="preserve"> </w:t>
            </w:r>
          </w:p>
          <w:p w:rsidR="00A1440B" w:rsidRPr="009770E0" w:rsidRDefault="00BC4C0C" w:rsidP="00BC4C0C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príznaky hypokalciémie ustúpili. </w:t>
            </w:r>
          </w:p>
        </w:tc>
        <w:tc>
          <w:tcPr>
            <w:tcW w:w="4606" w:type="dxa"/>
            <w:shd w:val="clear" w:color="auto" w:fill="auto"/>
          </w:tcPr>
          <w:p w:rsidR="00BC4C0C" w:rsidRPr="009770E0" w:rsidRDefault="00BC4C0C" w:rsidP="00BC4C0C">
            <w:pPr>
              <w:pStyle w:val="Default"/>
              <w:rPr>
                <w:sz w:val="22"/>
                <w:szCs w:val="22"/>
                <w:lang w:val="sk-SK"/>
              </w:rPr>
            </w:pPr>
            <w:r w:rsidRPr="009770E0">
              <w:rPr>
                <w:sz w:val="22"/>
                <w:szCs w:val="22"/>
                <w:lang w:val="sk-SK"/>
              </w:rPr>
              <w:t xml:space="preserve">Obnovte liečbu najbližšou nižšou dávkou. Ak bola liečba CINAMEDOM prerušená viac ako 14 dní, obnovte ju odporúčanou úvodnou dávkou. </w:t>
            </w:r>
          </w:p>
          <w:p w:rsidR="00BC4C0C" w:rsidRPr="009770E0" w:rsidRDefault="00BC4C0C" w:rsidP="00BC4C0C">
            <w:pPr>
              <w:pStyle w:val="Default"/>
              <w:rPr>
                <w:sz w:val="22"/>
                <w:szCs w:val="22"/>
                <w:lang w:val="sk-SK"/>
              </w:rPr>
            </w:pPr>
          </w:p>
          <w:p w:rsidR="00A1440B" w:rsidRPr="009770E0" w:rsidRDefault="00BC4C0C" w:rsidP="009770E0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9770E0">
              <w:rPr>
                <w:szCs w:val="22"/>
                <w:lang w:val="sk-SK"/>
              </w:rPr>
              <w:t xml:space="preserve">Ak pacient užíval najnižšiu dávku (1 mg/deň) pred prerušením liečby, obnovte ju rovnakou dávkou (1 mg/deň). </w:t>
            </w:r>
          </w:p>
        </w:tc>
      </w:tr>
    </w:tbl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 w:val="20"/>
          <w:lang w:val="sk-SK" w:eastAsia="sk-SK"/>
        </w:rPr>
        <w:t>*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Ak sa podávanie dávok prerušilo, korigovaná sérová hladina vápnika má byť stanovená do 5 až 7 dní. </w:t>
      </w:r>
    </w:p>
    <w:p w:rsidR="00391A7D" w:rsidRPr="007E2053" w:rsidRDefault="00391A7D" w:rsidP="00904B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lastRenderedPageBreak/>
        <w:t>Bezpečnosť a</w:t>
      </w:r>
      <w:r w:rsidR="00D62430">
        <w:rPr>
          <w:rFonts w:eastAsia="SimSun"/>
          <w:color w:val="000000"/>
          <w:szCs w:val="22"/>
          <w:lang w:val="sk-SK" w:eastAsia="sk-SK"/>
        </w:rPr>
        <w:t> </w:t>
      </w:r>
      <w:r w:rsidRPr="007E2053">
        <w:rPr>
          <w:rFonts w:eastAsia="SimSun"/>
          <w:color w:val="000000"/>
          <w:szCs w:val="22"/>
          <w:lang w:val="sk-SK" w:eastAsia="sk-SK"/>
        </w:rPr>
        <w:t>účinnosť</w:t>
      </w:r>
      <w:r w:rsidR="00D62430">
        <w:rPr>
          <w:rFonts w:eastAsia="SimSun"/>
          <w:color w:val="000000"/>
          <w:szCs w:val="22"/>
          <w:lang w:val="sk-SK" w:eastAsia="sk-SK"/>
        </w:rPr>
        <w:t xml:space="preserve"> cinakalcetu</w:t>
      </w:r>
      <w:r w:rsidRPr="00286A64">
        <w:rPr>
          <w:rFonts w:eastAsia="SimSun"/>
          <w:color w:val="000000"/>
          <w:szCs w:val="22"/>
          <w:lang w:val="sk-SK" w:eastAsia="sk-SK"/>
        </w:rPr>
        <w:t xml:space="preserve"> u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detí vo veku menej ako 3 roky na liečbu sekundárnej hyperparatyreózy neboli stanovené. K dispozícii nie sú dostatočné údaje. </w:t>
      </w:r>
    </w:p>
    <w:p w:rsidR="00DC49E6" w:rsidRPr="007E2053" w:rsidRDefault="00DC49E6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Paratyreoidný karcinóm a primárna hyperparatyreóza </w:t>
      </w: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Dospelí a starší pacienti (&gt; 65 rokov) </w:t>
      </w: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Odporúčaná úvodná dávka CINAMEDU u dospelých pacientov je 30 mg dvakrát denne. Dávka CINAMEDU sa má titrovať každé 2 až 4 týždne po následných dávkach 30 mg dvakrát denne, 60 mg dvakrát denne, 90 mg dvakrát denne a 90 mg </w:t>
      </w:r>
      <w:r w:rsidRPr="00286A64">
        <w:rPr>
          <w:rFonts w:eastAsia="SimSun"/>
          <w:color w:val="000000"/>
          <w:szCs w:val="22"/>
          <w:lang w:val="sk-SK" w:eastAsia="sk-SK"/>
        </w:rPr>
        <w:t>tri</w:t>
      </w:r>
      <w:r w:rsidR="003A654A" w:rsidRPr="00286A64">
        <w:rPr>
          <w:rFonts w:eastAsia="SimSun"/>
          <w:color w:val="000000"/>
          <w:szCs w:val="22"/>
          <w:lang w:val="sk-SK" w:eastAsia="sk-SK"/>
        </w:rPr>
        <w:t>-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alebo štyrikrát denne podľa potreby na zníženie koncentrácie sérového vápnika</w:t>
      </w:r>
      <w:r w:rsidR="00B32F26">
        <w:rPr>
          <w:rFonts w:eastAsia="SimSun"/>
          <w:color w:val="000000"/>
          <w:szCs w:val="22"/>
          <w:lang w:val="sk-SK" w:eastAsia="sk-SK"/>
        </w:rPr>
        <w:t xml:space="preserve"> na </w:t>
      </w:r>
      <w:r w:rsidR="00B32F26" w:rsidRPr="007E2053">
        <w:rPr>
          <w:rFonts w:eastAsia="SimSun"/>
          <w:color w:val="000000"/>
          <w:szCs w:val="22"/>
          <w:lang w:val="sk-SK" w:eastAsia="sk-SK"/>
        </w:rPr>
        <w:t>horn</w:t>
      </w:r>
      <w:r w:rsidR="00B32F26">
        <w:rPr>
          <w:rFonts w:eastAsia="SimSun"/>
          <w:color w:val="000000"/>
          <w:szCs w:val="22"/>
          <w:lang w:val="sk-SK" w:eastAsia="sk-SK"/>
        </w:rPr>
        <w:t>ú</w:t>
      </w:r>
      <w:r w:rsidR="00B32F26" w:rsidRPr="007E2053">
        <w:rPr>
          <w:rFonts w:eastAsia="SimSun"/>
          <w:color w:val="000000"/>
          <w:szCs w:val="22"/>
          <w:lang w:val="sk-SK" w:eastAsia="sk-SK"/>
        </w:rPr>
        <w:t xml:space="preserve"> </w:t>
      </w:r>
      <w:r w:rsidRPr="007E2053">
        <w:rPr>
          <w:rFonts w:eastAsia="SimSun"/>
          <w:color w:val="000000"/>
          <w:szCs w:val="22"/>
          <w:lang w:val="sk-SK" w:eastAsia="sk-SK"/>
        </w:rPr>
        <w:t>hranic</w:t>
      </w:r>
      <w:r w:rsidR="003A654A" w:rsidRPr="00286A64">
        <w:rPr>
          <w:rFonts w:eastAsia="SimSun"/>
          <w:color w:val="000000"/>
          <w:szCs w:val="22"/>
          <w:lang w:val="sk-SK" w:eastAsia="sk-SK"/>
        </w:rPr>
        <w:t>u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normálnej koncentrácie alebo pod túto hranicu. Maximálna dávka, ktorá sa podala v klinických štúdiách, bola 90 mg štyrikrát denne. </w:t>
      </w:r>
    </w:p>
    <w:p w:rsidR="008C40D9" w:rsidRPr="007E2053" w:rsidRDefault="008C40D9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Sérová hladina vápnika má byť stanovená do 1 týždňa po začatí liečby alebo úprave dávky CINAMEDU. Po stanovení udržiavacej dávky sa má hladina sérového vápnika stanovovať každé 2 až 3 mesiace. Po titrácii </w:t>
      </w:r>
      <w:r w:rsidR="00B32F26">
        <w:rPr>
          <w:rFonts w:eastAsia="SimSun"/>
          <w:color w:val="000000"/>
          <w:szCs w:val="22"/>
          <w:lang w:val="sk-SK" w:eastAsia="sk-SK"/>
        </w:rPr>
        <w:t>na</w:t>
      </w:r>
      <w:r w:rsidR="00B32F26" w:rsidRPr="007E2053">
        <w:rPr>
          <w:rFonts w:eastAsia="SimSun"/>
          <w:color w:val="000000"/>
          <w:szCs w:val="22"/>
          <w:lang w:val="sk-SK" w:eastAsia="sk-SK"/>
        </w:rPr>
        <w:t xml:space="preserve"> 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maximálnu dávku CINAMEDU sa má sérová hodnota vápnika pravidelne kontrolovať; ak sa nepodarilo udržať klinicky relevantné zníženie sérového vápnika, má sa zvážiť ukončenie liečby CINAMEDOM (pozri časť 5.1). </w:t>
      </w: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Pediatrická populácia </w:t>
      </w: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Bezpečnosť a </w:t>
      </w:r>
      <w:r w:rsidRPr="00286A64">
        <w:rPr>
          <w:rFonts w:eastAsia="SimSun"/>
          <w:color w:val="000000"/>
          <w:szCs w:val="22"/>
          <w:lang w:val="sk-SK" w:eastAsia="sk-SK"/>
        </w:rPr>
        <w:t xml:space="preserve">účinnosť </w:t>
      </w:r>
      <w:r w:rsidR="00D62430">
        <w:rPr>
          <w:rFonts w:eastAsia="SimSun"/>
          <w:color w:val="000000"/>
          <w:szCs w:val="22"/>
          <w:lang w:val="sk-SK" w:eastAsia="sk-SK"/>
        </w:rPr>
        <w:t>cinakalcetu</w:t>
      </w:r>
      <w:r w:rsidR="00D62430" w:rsidRPr="00286A64">
        <w:rPr>
          <w:rFonts w:eastAsia="SimSun"/>
          <w:color w:val="000000"/>
          <w:szCs w:val="22"/>
          <w:lang w:val="sk-SK" w:eastAsia="sk-SK"/>
        </w:rPr>
        <w:t xml:space="preserve"> </w:t>
      </w:r>
      <w:r w:rsidRPr="00286A64">
        <w:rPr>
          <w:rFonts w:eastAsia="SimSun"/>
          <w:color w:val="000000"/>
          <w:szCs w:val="22"/>
          <w:lang w:val="sk-SK" w:eastAsia="sk-SK"/>
        </w:rPr>
        <w:t>u</w:t>
      </w:r>
      <w:r w:rsidRPr="0055488D">
        <w:rPr>
          <w:rFonts w:eastAsia="SimSun"/>
          <w:color w:val="000000"/>
          <w:szCs w:val="22"/>
          <w:lang w:val="sk-SK" w:eastAsia="sk-SK"/>
        </w:rPr>
        <w:t xml:space="preserve"> detí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na liečbu paratyreoidného karcinómu a primárnej hyperparatyreózy neboli stanovené. K dispozícii nie sú žiadne údaje. </w:t>
      </w: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Porucha funkcie pečene </w:t>
      </w:r>
    </w:p>
    <w:p w:rsidR="0015736E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Úvodnú dávku nie je potrebné upravovať. U pacientov so stredne ťažkou až ťažkou poruchou funkcie pečene sa má CINAMED používať opatrne a počas titrácie dávky a následnej liečby sa má liečba starostlivo sledovať (pozri časti 4.4 a 5.2).</w:t>
      </w:r>
    </w:p>
    <w:p w:rsidR="0015736E" w:rsidRPr="007E2053" w:rsidRDefault="0015736E" w:rsidP="00904B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Spôsob podávania </w:t>
      </w: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Na perorálne použitie. </w:t>
      </w: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Tablety sa majú užívať celé a nemajú sa rozhrýzť, rozdrviť, ani rozlomiť.</w:t>
      </w: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Odporúča sa užívať CINAMED s jedlom alebo krátko po jedle, pretože v štúdiách sa preukázalo, že biodostupnosť cinakalcetu sa zvyšuje pri užívaní s jedlom (pozri časť 5.2). </w:t>
      </w:r>
    </w:p>
    <w:p w:rsidR="00BC4C0C" w:rsidRPr="007E2053" w:rsidRDefault="00BC4C0C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C4C0C" w:rsidRPr="007E2053" w:rsidRDefault="00B32F26" w:rsidP="00BC4C0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>
        <w:rPr>
          <w:rFonts w:eastAsia="SimSun"/>
          <w:color w:val="000000"/>
          <w:szCs w:val="22"/>
          <w:lang w:val="sk-SK" w:eastAsia="sk-SK"/>
        </w:rPr>
        <w:t>CINAMED nie je dostupný vo forme granulátu na použitie u</w:t>
      </w:r>
      <w:r w:rsidR="00A45F7E">
        <w:rPr>
          <w:rFonts w:eastAsia="SimSun"/>
          <w:color w:val="000000"/>
          <w:szCs w:val="22"/>
          <w:lang w:val="sk-SK" w:eastAsia="sk-SK"/>
        </w:rPr>
        <w:t> </w:t>
      </w:r>
      <w:r>
        <w:rPr>
          <w:rFonts w:eastAsia="SimSun"/>
          <w:color w:val="000000"/>
          <w:szCs w:val="22"/>
          <w:lang w:val="sk-SK" w:eastAsia="sk-SK"/>
        </w:rPr>
        <w:t>pediatrickej</w:t>
      </w:r>
      <w:r w:rsidR="00A45F7E">
        <w:rPr>
          <w:rFonts w:eastAsia="SimSun"/>
          <w:color w:val="000000"/>
          <w:szCs w:val="22"/>
          <w:lang w:val="sk-SK" w:eastAsia="sk-SK"/>
        </w:rPr>
        <w:t xml:space="preserve"> populácie</w:t>
      </w:r>
      <w:r>
        <w:rPr>
          <w:rFonts w:eastAsia="SimSun"/>
          <w:color w:val="000000"/>
          <w:szCs w:val="22"/>
          <w:lang w:val="sk-SK" w:eastAsia="sk-SK"/>
        </w:rPr>
        <w:t>.</w:t>
      </w:r>
      <w:r w:rsidR="00BC4C0C" w:rsidRPr="007E2053">
        <w:rPr>
          <w:rFonts w:eastAsia="SimSun"/>
          <w:color w:val="000000"/>
          <w:szCs w:val="22"/>
          <w:lang w:val="sk-SK" w:eastAsia="sk-SK"/>
        </w:rPr>
        <w:t xml:space="preserve"> Deti, ktoré vyžadujú nižšie dávky ako 30 mg</w:t>
      </w:r>
      <w:r w:rsidR="003A654A">
        <w:rPr>
          <w:rFonts w:eastAsia="SimSun"/>
          <w:color w:val="000000"/>
          <w:szCs w:val="22"/>
          <w:lang w:val="sk-SK" w:eastAsia="sk-SK"/>
        </w:rPr>
        <w:t>,</w:t>
      </w:r>
      <w:r w:rsidR="00BC4C0C" w:rsidRPr="007E2053">
        <w:rPr>
          <w:rFonts w:eastAsia="SimSun"/>
          <w:color w:val="000000"/>
          <w:szCs w:val="22"/>
          <w:lang w:val="sk-SK" w:eastAsia="sk-SK"/>
        </w:rPr>
        <w:t xml:space="preserve"> alebo ktoré nie sú schopné prehĺtať tablety, majú dostať </w:t>
      </w:r>
      <w:r>
        <w:rPr>
          <w:rFonts w:eastAsia="SimSun"/>
          <w:color w:val="000000"/>
          <w:szCs w:val="22"/>
          <w:lang w:val="sk-SK" w:eastAsia="sk-SK"/>
        </w:rPr>
        <w:t xml:space="preserve">iný liek s obsahom </w:t>
      </w:r>
      <w:r w:rsidR="00D62430">
        <w:rPr>
          <w:rFonts w:eastAsia="SimSun"/>
          <w:color w:val="000000"/>
          <w:szCs w:val="22"/>
          <w:lang w:val="sk-SK" w:eastAsia="sk-SK"/>
        </w:rPr>
        <w:t>cinakalcetu</w:t>
      </w:r>
      <w:r>
        <w:rPr>
          <w:rFonts w:eastAsia="SimSun"/>
          <w:color w:val="000000"/>
          <w:szCs w:val="22"/>
          <w:lang w:val="sk-SK" w:eastAsia="sk-SK"/>
        </w:rPr>
        <w:t xml:space="preserve"> vo forme granulátu</w:t>
      </w:r>
      <w:r w:rsidR="00BC4C0C" w:rsidRPr="00286A64">
        <w:rPr>
          <w:rFonts w:eastAsia="SimSun"/>
          <w:color w:val="000000"/>
          <w:szCs w:val="22"/>
          <w:lang w:val="sk-SK" w:eastAsia="sk-SK"/>
        </w:rPr>
        <w:t>.</w:t>
      </w:r>
    </w:p>
    <w:p w:rsidR="0015736E" w:rsidRPr="007E2053" w:rsidRDefault="0015736E" w:rsidP="00904B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:rsidR="001F4901" w:rsidRPr="007E2053" w:rsidRDefault="001F4901" w:rsidP="00686266">
      <w:pPr>
        <w:keepNext/>
        <w:spacing w:line="240" w:lineRule="auto"/>
        <w:ind w:left="567" w:hanging="567"/>
        <w:outlineLvl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4.3</w:t>
      </w:r>
      <w:r w:rsidRPr="007E2053">
        <w:rPr>
          <w:b/>
          <w:noProof/>
          <w:szCs w:val="22"/>
          <w:lang w:val="sk-SK"/>
        </w:rPr>
        <w:tab/>
      </w:r>
      <w:r w:rsidR="00694B37" w:rsidRPr="007E2053">
        <w:rPr>
          <w:b/>
          <w:noProof/>
          <w:szCs w:val="22"/>
          <w:lang w:val="sk-SK"/>
        </w:rPr>
        <w:t>Kontraindikácie</w:t>
      </w:r>
    </w:p>
    <w:p w:rsidR="00CC2F03" w:rsidRPr="007E2053" w:rsidRDefault="00CC2F03" w:rsidP="00CC2F0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 w:val="24"/>
          <w:szCs w:val="24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Precitlivenosť na liečivo alebo na ktorúkoľvek z pomocných látok uvedených v časti 6.1.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904BB8" w:rsidRPr="007E2053" w:rsidRDefault="00163438" w:rsidP="00163438">
      <w:pPr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Hypokalciémia (pozri časti 4.2 a 4.4).</w:t>
      </w:r>
    </w:p>
    <w:p w:rsidR="00163438" w:rsidRPr="007E2053" w:rsidRDefault="00163438" w:rsidP="00163438">
      <w:pPr>
        <w:spacing w:line="240" w:lineRule="auto"/>
        <w:ind w:left="360"/>
        <w:rPr>
          <w:noProof/>
          <w:szCs w:val="22"/>
          <w:lang w:val="sk-SK"/>
        </w:rPr>
      </w:pPr>
    </w:p>
    <w:p w:rsidR="001F4901" w:rsidRPr="007E2053" w:rsidRDefault="001F4901" w:rsidP="00686266">
      <w:pPr>
        <w:keepNext/>
        <w:spacing w:line="240" w:lineRule="auto"/>
        <w:ind w:left="567" w:hanging="567"/>
        <w:outlineLvl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4.4</w:t>
      </w:r>
      <w:r w:rsidRPr="007E2053">
        <w:rPr>
          <w:b/>
          <w:noProof/>
          <w:szCs w:val="22"/>
          <w:lang w:val="sk-SK"/>
        </w:rPr>
        <w:tab/>
      </w:r>
      <w:r w:rsidR="00694B37" w:rsidRPr="007E2053">
        <w:rPr>
          <w:b/>
          <w:noProof/>
          <w:szCs w:val="22"/>
          <w:lang w:val="sk-SK"/>
        </w:rPr>
        <w:t>Osobitné upozornenia a opatrenia pri používaní</w:t>
      </w:r>
    </w:p>
    <w:p w:rsidR="003837FF" w:rsidRPr="007E2053" w:rsidRDefault="003837FF" w:rsidP="000D29B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Sérový vápnik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U dospelých a </w:t>
      </w:r>
      <w:r w:rsidRPr="0055488D">
        <w:rPr>
          <w:rFonts w:eastAsia="SimSun"/>
          <w:color w:val="000000"/>
          <w:szCs w:val="22"/>
          <w:lang w:val="sk-SK" w:eastAsia="sk-SK"/>
        </w:rPr>
        <w:t xml:space="preserve">pediatrických pacientov </w:t>
      </w:r>
      <w:r w:rsidRPr="00286A64">
        <w:rPr>
          <w:rFonts w:eastAsia="SimSun"/>
          <w:color w:val="000000"/>
          <w:szCs w:val="22"/>
          <w:lang w:val="sk-SK" w:eastAsia="sk-SK"/>
        </w:rPr>
        <w:t xml:space="preserve">liečených </w:t>
      </w:r>
      <w:r w:rsidR="00D62430" w:rsidRPr="0055488D">
        <w:rPr>
          <w:rFonts w:eastAsia="SimSun"/>
          <w:color w:val="000000"/>
          <w:szCs w:val="22"/>
          <w:lang w:val="sk-SK" w:eastAsia="sk-SK"/>
        </w:rPr>
        <w:t xml:space="preserve">cinakalcetom </w:t>
      </w:r>
      <w:r w:rsidRPr="00F73405">
        <w:rPr>
          <w:rFonts w:eastAsia="SimSun"/>
          <w:color w:val="000000"/>
          <w:szCs w:val="22"/>
          <w:lang w:val="sk-SK" w:eastAsia="sk-SK"/>
        </w:rPr>
        <w:t>sa zaznamenali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život ohrozujúce udalosti a fatálne následky súvisiace s hypokalciémiou. Prejavy hypokalciémie môžu zahŕňať parestézie, myalgie, kŕčovité sťahy, tetaniu a kŕče. Pokles sérového vápnika môže tiež predĺžiť QT interval, čo môže viesť ku komorovej arytmii sekundárne pri hypokalciémii. U pacientov liečených cinakalcetom boli hlásené prípady predĺženia QT intervalu a komorová arytmia (pozri časť 4.8). Opatrnosť sa odporúča u pacientov s ďalšími rizikovými faktormi pre predĺženie QT intervalu, ako napríklad u pacientov so známym vrodeným syndrómom dlhého QT intervalu alebo u pacientov užívajúcich lieky, ktoré spôsobujú predĺženie QT intervalu.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lastRenderedPageBreak/>
        <w:t xml:space="preserve">Keďže cinakalcet znižuje sérovú hladinu vápnika, pacienti majú 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byť starostlivo monitorovaní na 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výskyt hypokalciémie (pozri časť 4.2). Sérový vápnik sa má merať v priebehu 1 týždňa po začatí liečby </w:t>
      </w:r>
      <w:r w:rsidR="008C40D9" w:rsidRPr="007E2053">
        <w:rPr>
          <w:rFonts w:eastAsia="SimSun"/>
          <w:color w:val="000000"/>
          <w:szCs w:val="22"/>
          <w:lang w:val="sk-SK" w:eastAsia="sk-SK"/>
        </w:rPr>
        <w:t>CINAMEDOM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alebo po úprave dávky. </w:t>
      </w:r>
    </w:p>
    <w:p w:rsidR="00DC49E6" w:rsidRPr="007E2053" w:rsidRDefault="00DC49E6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Dospelí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Liečba </w:t>
      </w:r>
      <w:r w:rsidR="008C40D9" w:rsidRPr="007E2053">
        <w:rPr>
          <w:rFonts w:eastAsia="SimSun"/>
          <w:color w:val="000000"/>
          <w:szCs w:val="22"/>
          <w:lang w:val="sk-SK" w:eastAsia="sk-SK"/>
        </w:rPr>
        <w:t>CINAMEDOM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sa nemá začať u pacientov s hodnotou sérového vápnika (prepoč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ítaného na 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albumín) pod dolnou hranicou normálnych hodnôt.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U pacientov s</w:t>
      </w:r>
      <w:r w:rsidR="00CB5717">
        <w:rPr>
          <w:rFonts w:eastAsia="SimSun"/>
          <w:color w:val="000000"/>
          <w:szCs w:val="22"/>
          <w:lang w:val="sk-SK" w:eastAsia="sk-SK"/>
        </w:rPr>
        <w:t xml:space="preserve"> chronickým ochorením obličiek </w:t>
      </w:r>
      <w:r w:rsidRPr="007E2053">
        <w:rPr>
          <w:rFonts w:eastAsia="SimSun"/>
          <w:color w:val="000000"/>
          <w:szCs w:val="22"/>
          <w:lang w:val="sk-SK" w:eastAsia="sk-SK"/>
        </w:rPr>
        <w:t>CK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D</w:t>
      </w:r>
      <w:r w:rsidR="00CB5717">
        <w:rPr>
          <w:rFonts w:eastAsia="SimSun"/>
          <w:color w:val="000000"/>
          <w:szCs w:val="22"/>
          <w:lang w:val="sk-SK" w:eastAsia="sk-SK"/>
        </w:rPr>
        <w:t xml:space="preserve"> </w:t>
      </w:r>
      <w:r w:rsidR="00CB5717" w:rsidRPr="00286A64">
        <w:rPr>
          <w:rFonts w:eastAsia="SimSun"/>
          <w:color w:val="000000"/>
          <w:szCs w:val="22"/>
          <w:lang w:val="sk-SK" w:eastAsia="sk-SK"/>
        </w:rPr>
        <w:t>(z angl</w:t>
      </w:r>
      <w:r w:rsidR="003A654A" w:rsidRPr="00286A64">
        <w:rPr>
          <w:rFonts w:eastAsia="SimSun"/>
          <w:color w:val="000000"/>
          <w:szCs w:val="22"/>
          <w:lang w:val="sk-SK" w:eastAsia="sk-SK"/>
        </w:rPr>
        <w:t>.</w:t>
      </w:r>
      <w:r w:rsidR="00CB5717" w:rsidRPr="00286A64">
        <w:rPr>
          <w:rFonts w:eastAsia="SimSun"/>
          <w:color w:val="000000"/>
          <w:szCs w:val="22"/>
          <w:lang w:val="sk-SK" w:eastAsia="sk-SK"/>
        </w:rPr>
        <w:t xml:space="preserve"> </w:t>
      </w:r>
      <w:r w:rsidR="003A654A" w:rsidRPr="00286A64">
        <w:rPr>
          <w:rFonts w:eastAsia="SimSun"/>
          <w:color w:val="000000"/>
          <w:szCs w:val="22"/>
          <w:lang w:val="sk-SK" w:eastAsia="sk-SK"/>
        </w:rPr>
        <w:t>C</w:t>
      </w:r>
      <w:r w:rsidR="00CB5717" w:rsidRPr="00286A64">
        <w:rPr>
          <w:rFonts w:eastAsia="SimSun"/>
          <w:color w:val="000000"/>
          <w:szCs w:val="22"/>
          <w:lang w:val="sk-SK" w:eastAsia="sk-SK"/>
        </w:rPr>
        <w:t xml:space="preserve">hronic </w:t>
      </w:r>
      <w:r w:rsidR="003A654A" w:rsidRPr="00286A64">
        <w:rPr>
          <w:rFonts w:eastAsia="SimSun"/>
          <w:color w:val="000000"/>
          <w:szCs w:val="22"/>
          <w:lang w:val="sk-SK" w:eastAsia="sk-SK"/>
        </w:rPr>
        <w:t>K</w:t>
      </w:r>
      <w:r w:rsidR="00CB5717" w:rsidRPr="00286A64">
        <w:rPr>
          <w:rFonts w:eastAsia="SimSun"/>
          <w:color w:val="000000"/>
          <w:szCs w:val="22"/>
          <w:lang w:val="sk-SK" w:eastAsia="sk-SK"/>
        </w:rPr>
        <w:t xml:space="preserve">idney </w:t>
      </w:r>
      <w:r w:rsidR="003A654A" w:rsidRPr="00286A64">
        <w:rPr>
          <w:rFonts w:eastAsia="SimSun"/>
          <w:color w:val="000000"/>
          <w:szCs w:val="22"/>
          <w:lang w:val="sk-SK" w:eastAsia="sk-SK"/>
        </w:rPr>
        <w:t>D</w:t>
      </w:r>
      <w:r w:rsidR="00CB5717" w:rsidRPr="00286A64">
        <w:rPr>
          <w:rFonts w:eastAsia="SimSun"/>
          <w:color w:val="000000"/>
          <w:szCs w:val="22"/>
          <w:lang w:val="sk-SK" w:eastAsia="sk-SK"/>
        </w:rPr>
        <w:t>isease</w:t>
      </w:r>
      <w:r w:rsidR="00CB5717">
        <w:rPr>
          <w:rFonts w:eastAsia="SimSun"/>
          <w:color w:val="000000"/>
          <w:szCs w:val="22"/>
          <w:lang w:val="sk-SK" w:eastAsia="sk-SK"/>
        </w:rPr>
        <w:t>)</w:t>
      </w:r>
      <w:r w:rsidR="00014230" w:rsidRPr="007E2053">
        <w:rPr>
          <w:rFonts w:eastAsia="SimSun"/>
          <w:color w:val="000000"/>
          <w:szCs w:val="22"/>
          <w:lang w:val="sk-SK" w:eastAsia="sk-SK"/>
        </w:rPr>
        <w:t xml:space="preserve"> na dialýze, ktorým sa </w:t>
      </w:r>
      <w:r w:rsidR="00014230" w:rsidRPr="00286A64">
        <w:rPr>
          <w:rFonts w:eastAsia="SimSun"/>
          <w:color w:val="000000"/>
          <w:szCs w:val="22"/>
          <w:lang w:val="sk-SK" w:eastAsia="sk-SK"/>
        </w:rPr>
        <w:t>podával</w:t>
      </w:r>
      <w:r w:rsidRPr="00286A64">
        <w:rPr>
          <w:rFonts w:eastAsia="SimSun"/>
          <w:color w:val="000000"/>
          <w:szCs w:val="22"/>
          <w:lang w:val="sk-SK" w:eastAsia="sk-SK"/>
        </w:rPr>
        <w:t xml:space="preserve"> </w:t>
      </w:r>
      <w:r w:rsidR="00D62430" w:rsidRPr="00286A64">
        <w:rPr>
          <w:rFonts w:eastAsia="SimSun"/>
          <w:color w:val="000000"/>
          <w:szCs w:val="22"/>
          <w:lang w:val="sk-SK" w:eastAsia="sk-SK"/>
        </w:rPr>
        <w:t>cinakalcet</w:t>
      </w:r>
      <w:r w:rsidRPr="00286A64">
        <w:rPr>
          <w:rFonts w:eastAsia="SimSun"/>
          <w:color w:val="000000"/>
          <w:szCs w:val="22"/>
          <w:lang w:val="sk-SK" w:eastAsia="sk-SK"/>
        </w:rPr>
        <w:t>,</w:t>
      </w:r>
      <w:r w:rsidRPr="0055488D">
        <w:rPr>
          <w:rFonts w:eastAsia="SimSun"/>
          <w:color w:val="000000"/>
          <w:szCs w:val="22"/>
          <w:lang w:val="sk-SK" w:eastAsia="sk-SK"/>
        </w:rPr>
        <w:t xml:space="preserve"> približne 30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% pacientov malo minimálne jednu hodnotu sérového vápnika nižšiu ako 7,5 mg/dl (1,9 mmol/l).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Pediatrická populácia </w:t>
      </w:r>
    </w:p>
    <w:p w:rsidR="005E10D6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Podávanie 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CINAMEDU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sa má začať iba na liečbu sekundárnej HPT u detí vo veku ≥ 3 roky s ESRD na udržiavacej dialyzačnej liečbe, u ktorých sekundárna HPT nie je primerane kontrolovaná lieč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bou v </w:t>
      </w:r>
      <w:r w:rsidRPr="007E2053">
        <w:rPr>
          <w:rFonts w:eastAsia="SimSun"/>
          <w:color w:val="000000"/>
          <w:szCs w:val="22"/>
          <w:lang w:val="sk-SK" w:eastAsia="sk-SK"/>
        </w:rPr>
        <w:t>rámci štandardnej starostlivosti, ak je hladina sérového vápnika v hornom rozmedzí referenčného rozpätia hodnôt špecifických pre vek alebo nad ním.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Počas liečby cinakalcetom starostlivo sledujte hladiny séro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vého vápnika (pozri časť 4.2) a </w:t>
      </w:r>
      <w:r w:rsidR="00CB5717">
        <w:rPr>
          <w:rFonts w:eastAsia="SimSun"/>
          <w:color w:val="000000"/>
          <w:szCs w:val="22"/>
          <w:lang w:val="sk-SK" w:eastAsia="sk-SK"/>
        </w:rPr>
        <w:t> </w:t>
      </w:r>
      <w:r w:rsidRPr="007E2053">
        <w:rPr>
          <w:rFonts w:eastAsia="SimSun"/>
          <w:color w:val="000000"/>
          <w:szCs w:val="22"/>
          <w:lang w:val="sk-SK" w:eastAsia="sk-SK"/>
        </w:rPr>
        <w:t>komplianciu pacienta. Ak je podozrenie na nonkomplianciu, nezačnite podávať cinakalcet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,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ani nezvyšujte dávku.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Pred začatím podávania cinakalcetu a počas liečby zvážte riziká a prínosy a schopnosť pacienta dodržiavať odporúčania na sledovanie a zvládanie rizika hypokalciémie.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Informujte pediatrických pacientov a/alebo ich opatrovateľov</w:t>
      </w:r>
      <w:r w:rsidR="00014230" w:rsidRPr="007E2053">
        <w:rPr>
          <w:rFonts w:eastAsia="SimSun"/>
          <w:color w:val="000000"/>
          <w:szCs w:val="22"/>
          <w:lang w:val="sk-SK" w:eastAsia="sk-SK"/>
        </w:rPr>
        <w:t xml:space="preserve"> o príznakoch hypokalciémie a </w:t>
      </w:r>
      <w:r w:rsidR="00014230" w:rsidRPr="007E2053">
        <w:rPr>
          <w:rFonts w:eastAsia="SimSun"/>
          <w:lang w:val="sk-SK"/>
        </w:rPr>
        <w:t>o </w:t>
      </w:r>
      <w:r w:rsidRPr="007E2053">
        <w:rPr>
          <w:lang w:val="sk-SK" w:eastAsia="sk-SK"/>
        </w:rPr>
        <w:t>význame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dodržiavania pokynov na sledovanie sérového vápnika, dávkovaní a spôsobe podávania.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Pacienti s </w:t>
      </w:r>
      <w:r w:rsidR="00CB5717">
        <w:rPr>
          <w:rFonts w:eastAsia="SimSun"/>
          <w:i/>
          <w:iCs/>
          <w:color w:val="000000"/>
          <w:szCs w:val="22"/>
          <w:lang w:val="sk-SK" w:eastAsia="sk-SK"/>
        </w:rPr>
        <w:t>chronickým ochorením obličiek (CKD)</w:t>
      </w:r>
      <w:r w:rsidR="00CB5717"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 </w:t>
      </w: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bez dialýzy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Cinakalcet nie je indikovaný pacientom s CKD bez dialýzy. Štúdie preukázali, že u dospelých pacientov s CKD bez dialýzy liečených cinakalcetom existuje zvýšené riziko hypokalciémie (sérové koncentrácie vápnika &lt; 8,4 mg/dl [2,1 mmol/l]) v porovnaní s pacientmi s CKD na dialýze, ktorí sú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liečení cinakalcetom. Príčinou môžu byť nižšie východiskové koncentrácie vápnika a/alebo prítomnosť reziduálnej renálnej funkcie.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Záchvaty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Prípady záchvatov boli hlásené u pacientov liečených</w:t>
      </w:r>
      <w:r w:rsidR="00D62430">
        <w:rPr>
          <w:rFonts w:eastAsia="SimSun"/>
          <w:color w:val="000000"/>
          <w:szCs w:val="22"/>
          <w:lang w:val="sk-SK" w:eastAsia="sk-SK"/>
        </w:rPr>
        <w:t xml:space="preserve"> cinakalcetom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(pozri časť 4.8). Prah</w:t>
      </w:r>
      <w:r w:rsidR="00014230" w:rsidRPr="007E2053">
        <w:rPr>
          <w:rFonts w:eastAsia="SimSun"/>
          <w:color w:val="000000"/>
          <w:szCs w:val="22"/>
          <w:lang w:val="sk-SK" w:eastAsia="sk-SK"/>
        </w:rPr>
        <w:t xml:space="preserve"> pre 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záchvaty bol znížený významnou redukciou sérových hladín vápnika. Preto sa u pacientov užívajúcich </w:t>
      </w:r>
      <w:r w:rsidR="008C40D9" w:rsidRPr="007E2053">
        <w:rPr>
          <w:rFonts w:eastAsia="SimSun"/>
          <w:color w:val="000000"/>
          <w:szCs w:val="22"/>
          <w:lang w:val="sk-SK" w:eastAsia="sk-SK"/>
        </w:rPr>
        <w:t>CINAMED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, predovšetkým u pacientov so záchvatovým ochorením v anamnéze, majú starostlivo sledovať hladiny sérového vápnika.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Hypotenzia a/alebo zhoršenie srdcového zlyhania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Prípady hypotenzie a/alebo zhoršenia srdcového zlyhania boli hlásené u pacientov s poruchou srdcovej funkcie, u ktorých sa kauzálny vzťah s cinakalcetom nedá úplne vylúčiť a môžu byť sprostredkované znížením sérových koncentrácií vápnika (pozri časť 4.8).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Súbežné podávanie s inými liekmi </w:t>
      </w:r>
    </w:p>
    <w:p w:rsidR="00163438" w:rsidRPr="007E2053" w:rsidRDefault="008C40D9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CINAMED</w:t>
      </w:r>
      <w:r w:rsidR="00163438" w:rsidRPr="007E2053">
        <w:rPr>
          <w:rFonts w:eastAsia="SimSun"/>
          <w:color w:val="000000"/>
          <w:szCs w:val="22"/>
          <w:lang w:val="sk-SK" w:eastAsia="sk-SK"/>
        </w:rPr>
        <w:t xml:space="preserve"> podávajte s opatrnosťou pacientom užívajúcich iné lieky, o ktorých je známe, že znižujú sérový vápnik. Pozorne sledujte sérový vápnik (pozri časť 4.5).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Pacientom liečeným </w:t>
      </w:r>
      <w:r w:rsidR="008C40D9" w:rsidRPr="007E2053">
        <w:rPr>
          <w:rFonts w:eastAsia="SimSun"/>
          <w:color w:val="000000"/>
          <w:szCs w:val="22"/>
          <w:lang w:val="sk-SK" w:eastAsia="sk-SK"/>
        </w:rPr>
        <w:t>CINAMEDOM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sa nemá podávať etelkalcetid. Súbežné podávanie môže viesť</w:t>
      </w:r>
      <w:r w:rsidR="00014230" w:rsidRPr="007E2053">
        <w:rPr>
          <w:rFonts w:eastAsia="SimSun"/>
          <w:color w:val="000000"/>
          <w:szCs w:val="22"/>
          <w:lang w:val="sk-SK" w:eastAsia="sk-SK"/>
        </w:rPr>
        <w:t xml:space="preserve"> k </w:t>
      </w:r>
      <w:r w:rsidRPr="007E2053">
        <w:rPr>
          <w:rFonts w:eastAsia="SimSun"/>
          <w:color w:val="000000"/>
          <w:szCs w:val="22"/>
          <w:lang w:val="sk-SK" w:eastAsia="sk-SK"/>
        </w:rPr>
        <w:t>závažnej hypokalciémii.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Všeobecne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Adynamické ochorenie kostí sa môže rozvinúť, ak </w:t>
      </w:r>
      <w:r w:rsidR="00A5601D">
        <w:rPr>
          <w:rFonts w:eastAsia="SimSun"/>
          <w:color w:val="000000"/>
          <w:szCs w:val="22"/>
          <w:lang w:val="sk-SK" w:eastAsia="sk-SK"/>
        </w:rPr>
        <w:t xml:space="preserve">sú 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hodnoty hladín PTH chronicky nižšie ako približne 1,5-násobok horného limitu normálnych hodnôt pri iPTH stanovení. Ak sa hodnoty PTH znížia pod odporučený cieľový interval u pacientov liečených </w:t>
      </w:r>
      <w:r w:rsidR="008C40D9" w:rsidRPr="007E2053">
        <w:rPr>
          <w:rFonts w:eastAsia="SimSun"/>
          <w:color w:val="000000"/>
          <w:szCs w:val="22"/>
          <w:lang w:val="sk-SK" w:eastAsia="sk-SK"/>
        </w:rPr>
        <w:t>CINAMEDOM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, má sa znížiť dávka 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CINAMEDU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a/alebo sterolov vitamínu D alebo sa má liečba prerušiť.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Hladiny testosterónu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Hladiny testosterónu bývajú často pod normálnym intervalom u pacientov s konečným štádiom renálneho ochorenia. V klinickej štúdii s dospelými ESRD pacientmi na dialýze sa po 6 mesiacoch liečby hladiny voľného testosterónu znížili o medián 31,3 % u pacientov liečených</w:t>
      </w:r>
      <w:r w:rsidR="00D62430">
        <w:rPr>
          <w:rFonts w:eastAsia="SimSun"/>
          <w:color w:val="000000"/>
          <w:szCs w:val="22"/>
          <w:lang w:val="sk-SK" w:eastAsia="sk-SK"/>
        </w:rPr>
        <w:t xml:space="preserve"> cinakalcetom 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a o </w:t>
      </w:r>
      <w:r w:rsidRPr="007E2053">
        <w:rPr>
          <w:rFonts w:eastAsia="SimSun"/>
          <w:color w:val="000000"/>
          <w:szCs w:val="22"/>
          <w:lang w:val="sk-SK" w:eastAsia="sk-SK"/>
        </w:rPr>
        <w:t>16,3 % u pacientov, ktorí dostávali placebo. V následnej otvorenej časti tejto štúdie sa nepreukázalo žiadne ďalšie zníženie koncentrácie voľného a celkového testosterónu u pacientov liečených</w:t>
      </w:r>
      <w:r w:rsidR="00D62430">
        <w:rPr>
          <w:rFonts w:eastAsia="SimSun"/>
          <w:color w:val="000000"/>
          <w:szCs w:val="22"/>
          <w:lang w:val="sk-SK" w:eastAsia="sk-SK"/>
        </w:rPr>
        <w:t xml:space="preserve"> </w:t>
      </w:r>
      <w:r w:rsidR="00D62430" w:rsidRPr="0055488D">
        <w:rPr>
          <w:rFonts w:eastAsia="SimSun"/>
          <w:color w:val="000000"/>
          <w:szCs w:val="22"/>
          <w:lang w:val="sk-SK" w:eastAsia="sk-SK"/>
        </w:rPr>
        <w:t>cinakalcetom</w:t>
      </w:r>
      <w:r w:rsidRPr="0055488D">
        <w:rPr>
          <w:rFonts w:eastAsia="SimSun"/>
          <w:color w:val="000000"/>
          <w:szCs w:val="22"/>
          <w:lang w:val="sk-SK" w:eastAsia="sk-SK"/>
        </w:rPr>
        <w:t xml:space="preserve"> </w:t>
      </w:r>
      <w:r w:rsidRPr="00286A64">
        <w:rPr>
          <w:rFonts w:eastAsia="SimSun"/>
          <w:color w:val="000000"/>
          <w:szCs w:val="22"/>
          <w:lang w:val="sk-SK" w:eastAsia="sk-SK"/>
        </w:rPr>
        <w:t>počas</w:t>
      </w:r>
      <w:r w:rsidRPr="0055488D">
        <w:rPr>
          <w:rFonts w:eastAsia="SimSun"/>
          <w:color w:val="000000"/>
          <w:szCs w:val="22"/>
          <w:lang w:val="sk-SK" w:eastAsia="sk-SK"/>
        </w:rPr>
        <w:t xml:space="preserve"> obdobia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3 rokov. Klinický význam týchto redukcií hladiny sérového testosterónu nie je známy.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Porucha funkcie pečene 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V dôsledku potenciálne 2- až 4-násobne vyšších plazmatických hl</w:t>
      </w:r>
      <w:r w:rsidR="00014230" w:rsidRPr="007E2053">
        <w:rPr>
          <w:rFonts w:eastAsia="SimSun"/>
          <w:color w:val="000000"/>
          <w:szCs w:val="22"/>
          <w:lang w:val="sk-SK" w:eastAsia="sk-SK"/>
        </w:rPr>
        <w:t>adín cinakalcetu u pacientov so 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stredne ťažkou až ťažkou poruchou funkcie pečene (Childova-Pughova klasifikácia) sa má </w:t>
      </w:r>
      <w:r w:rsidR="008C40D9" w:rsidRPr="007E2053">
        <w:rPr>
          <w:rFonts w:eastAsia="SimSun"/>
          <w:color w:val="000000"/>
          <w:szCs w:val="22"/>
          <w:lang w:val="sk-SK" w:eastAsia="sk-SK"/>
        </w:rPr>
        <w:t>CINAMED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podávať u týchto pacientov s opatrnosťou a lekári majú liečbu starostlivo monitorovať (pozri časti 4.2 a 5.2).</w:t>
      </w:r>
    </w:p>
    <w:p w:rsidR="00163438" w:rsidRPr="007E2053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163438" w:rsidRPr="00CB206D" w:rsidRDefault="00163438" w:rsidP="001634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CB206D">
        <w:rPr>
          <w:rFonts w:eastAsia="SimSun"/>
          <w:color w:val="000000"/>
          <w:szCs w:val="22"/>
          <w:u w:val="single"/>
          <w:lang w:val="sk-SK" w:eastAsia="sk-SK"/>
        </w:rPr>
        <w:t xml:space="preserve">Laktóza </w:t>
      </w:r>
    </w:p>
    <w:p w:rsidR="00163438" w:rsidRPr="00CB206D" w:rsidRDefault="00CB206D" w:rsidP="00CB206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CB206D">
        <w:rPr>
          <w:rFonts w:eastAsia="SimSun"/>
          <w:color w:val="000000"/>
          <w:szCs w:val="22"/>
          <w:lang w:val="sk-SK" w:eastAsia="sk-SK"/>
        </w:rPr>
        <w:t>Pacienti so zriedkavými</w:t>
      </w:r>
      <w:r>
        <w:rPr>
          <w:rFonts w:eastAsia="SimSun"/>
          <w:color w:val="000000"/>
          <w:szCs w:val="22"/>
          <w:lang w:val="sk-SK" w:eastAsia="sk-SK"/>
        </w:rPr>
        <w:t xml:space="preserve"> dedičnými </w:t>
      </w:r>
      <w:r w:rsidRPr="00CB206D">
        <w:rPr>
          <w:rFonts w:eastAsia="SimSun"/>
          <w:color w:val="000000"/>
          <w:szCs w:val="22"/>
          <w:lang w:val="sk-SK" w:eastAsia="sk-SK"/>
        </w:rPr>
        <w:t>problémami gala</w:t>
      </w:r>
      <w:r>
        <w:rPr>
          <w:rFonts w:eastAsia="SimSun"/>
          <w:color w:val="000000"/>
          <w:szCs w:val="22"/>
          <w:lang w:val="sk-SK" w:eastAsia="sk-SK"/>
        </w:rPr>
        <w:t xml:space="preserve">któzovej intolerancie, celkovým </w:t>
      </w:r>
      <w:r w:rsidRPr="00CB206D">
        <w:rPr>
          <w:rFonts w:eastAsia="SimSun"/>
          <w:color w:val="000000"/>
          <w:szCs w:val="22"/>
          <w:lang w:val="sk-SK" w:eastAsia="sk-SK"/>
        </w:rPr>
        <w:t>deficitom lak</w:t>
      </w:r>
      <w:r>
        <w:rPr>
          <w:rFonts w:eastAsia="SimSun"/>
          <w:color w:val="000000"/>
          <w:szCs w:val="22"/>
          <w:lang w:val="sk-SK" w:eastAsia="sk-SK"/>
        </w:rPr>
        <w:t xml:space="preserve">tázy alebo glukózo-galaktózovou </w:t>
      </w:r>
      <w:r w:rsidRPr="00CB206D">
        <w:rPr>
          <w:rFonts w:eastAsia="SimSun"/>
          <w:color w:val="000000"/>
          <w:szCs w:val="22"/>
          <w:lang w:val="sk-SK" w:eastAsia="sk-SK"/>
        </w:rPr>
        <w:t xml:space="preserve">malabsorpciou </w:t>
      </w:r>
      <w:r w:rsidR="00A5601D">
        <w:rPr>
          <w:rFonts w:eastAsia="SimSun"/>
          <w:color w:val="000000"/>
          <w:szCs w:val="22"/>
          <w:lang w:val="sk-SK" w:eastAsia="sk-SK"/>
        </w:rPr>
        <w:t>nemaj</w:t>
      </w:r>
      <w:r w:rsidR="00A5601D" w:rsidRPr="00286A64">
        <w:rPr>
          <w:rFonts w:eastAsia="SimSun"/>
          <w:color w:val="000000"/>
          <w:szCs w:val="22"/>
          <w:lang w:val="sk-SK" w:eastAsia="sk-SK"/>
        </w:rPr>
        <w:t>ú</w:t>
      </w:r>
      <w:r w:rsidRPr="00CB206D">
        <w:rPr>
          <w:rFonts w:eastAsia="SimSun"/>
          <w:color w:val="000000"/>
          <w:szCs w:val="22"/>
          <w:lang w:val="sk-SK" w:eastAsia="sk-SK"/>
        </w:rPr>
        <w:t xml:space="preserve"> užívať tento liek.</w:t>
      </w:r>
    </w:p>
    <w:p w:rsidR="00CB206D" w:rsidRPr="007E2053" w:rsidRDefault="00CB206D" w:rsidP="00CB206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:rsidR="001F4901" w:rsidRPr="007E2053" w:rsidRDefault="001F4901" w:rsidP="00686266">
      <w:pPr>
        <w:keepNext/>
        <w:spacing w:line="240" w:lineRule="auto"/>
        <w:outlineLvl w:val="0"/>
        <w:rPr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4.5</w:t>
      </w:r>
      <w:r w:rsidRPr="007E2053">
        <w:rPr>
          <w:b/>
          <w:noProof/>
          <w:szCs w:val="22"/>
          <w:lang w:val="sk-SK"/>
        </w:rPr>
        <w:tab/>
      </w:r>
      <w:r w:rsidR="001D1077" w:rsidRPr="007E2053">
        <w:rPr>
          <w:b/>
          <w:noProof/>
          <w:szCs w:val="22"/>
          <w:lang w:val="sk-SK"/>
        </w:rPr>
        <w:t>Liekové a iné interakcie</w:t>
      </w:r>
    </w:p>
    <w:p w:rsidR="008C434B" w:rsidRPr="007E2053" w:rsidRDefault="008C434B" w:rsidP="00C02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Lieky, o ktorých je známe, že znižujú hladiny sérového vápnika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Súbežné podávanie iných liekov, o ktorých je známe, že zni</w:t>
      </w:r>
      <w:r w:rsidR="00AF60A4" w:rsidRPr="007E2053">
        <w:rPr>
          <w:rFonts w:eastAsia="SimSun"/>
          <w:color w:val="000000"/>
          <w:szCs w:val="22"/>
          <w:lang w:val="sk-SK" w:eastAsia="sk-SK"/>
        </w:rPr>
        <w:t xml:space="preserve">žujú hladiny sérového </w:t>
      </w:r>
      <w:r w:rsidR="00AF60A4" w:rsidRPr="00286A64">
        <w:rPr>
          <w:rFonts w:eastAsia="SimSun"/>
          <w:color w:val="000000"/>
          <w:szCs w:val="22"/>
          <w:lang w:val="sk-SK" w:eastAsia="sk-SK"/>
        </w:rPr>
        <w:t>vápnika</w:t>
      </w:r>
      <w:r w:rsidR="005E0A3A" w:rsidRPr="00286A64">
        <w:rPr>
          <w:rFonts w:eastAsia="SimSun"/>
          <w:color w:val="000000"/>
          <w:szCs w:val="22"/>
          <w:lang w:val="sk-SK" w:eastAsia="sk-SK"/>
        </w:rPr>
        <w:t>,</w:t>
      </w:r>
      <w:r w:rsidR="00AF60A4" w:rsidRPr="007E2053">
        <w:rPr>
          <w:rFonts w:eastAsia="SimSun"/>
          <w:color w:val="000000"/>
          <w:szCs w:val="22"/>
          <w:lang w:val="sk-SK" w:eastAsia="sk-SK"/>
        </w:rPr>
        <w:t xml:space="preserve"> a CINAMEDU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môže viesť k zvýšenému riziku hypokalciémie (pozri časť 4.4). Pacientom liečeným </w:t>
      </w:r>
      <w:r w:rsidR="00AF60A4" w:rsidRPr="007E2053">
        <w:rPr>
          <w:rFonts w:eastAsia="SimSun"/>
          <w:color w:val="000000"/>
          <w:szCs w:val="22"/>
          <w:lang w:val="sk-SK" w:eastAsia="sk-SK"/>
        </w:rPr>
        <w:t>CINAMEDOM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sa nemá podávať etelkalcetid (pozri časť 4.4).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Účinok iných liečiv na cinakalcet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Cinakalcet je čiastočne metabolizovaný enzýmom CYP3A4. Súbežné podávanie ketokonazolu, silného inhibítora CYP3A4, 200 mg dvakrát denne spôsobilo približne 2-násobné zvýšenie hladín cinakalcetu. Môže byť potrebné upraviť dávku </w:t>
      </w:r>
      <w:r w:rsidR="00AF60A4" w:rsidRPr="007E2053">
        <w:rPr>
          <w:rFonts w:eastAsia="SimSun"/>
          <w:color w:val="000000"/>
          <w:szCs w:val="22"/>
          <w:lang w:val="sk-SK" w:eastAsia="sk-SK"/>
        </w:rPr>
        <w:t>CINAMEDU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, ak pacient užívajúci </w:t>
      </w:r>
      <w:r w:rsidR="00AF60A4" w:rsidRPr="007E2053">
        <w:rPr>
          <w:rFonts w:eastAsia="SimSun"/>
          <w:color w:val="000000"/>
          <w:szCs w:val="22"/>
          <w:lang w:val="sk-SK" w:eastAsia="sk-SK"/>
        </w:rPr>
        <w:t>CINAMED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má začať alebo prerušiť liečbu silným inhibítorom (napr. ketokonazol, itrakonazol, telitromycín, vorikonazol, ritonavir) alebo induktorom tohto enzýmu (napr. rifampicín).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Údaje získané </w:t>
      </w: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in vitro 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ukazujú, že cinakalcet je čiastočne metabolizovaný enzýmom CYP1A2. Fajčenie indukuje CYP1A2 a bolo zistené, že klírens cinakalcetu bol u </w:t>
      </w:r>
      <w:r w:rsidR="00AF60A4" w:rsidRPr="007E2053">
        <w:rPr>
          <w:rFonts w:eastAsia="SimSun"/>
          <w:color w:val="000000"/>
          <w:szCs w:val="22"/>
          <w:lang w:val="sk-SK" w:eastAsia="sk-SK"/>
        </w:rPr>
        <w:t>fajčiarov o 36-38 % vyšší ako u </w:t>
      </w:r>
      <w:r w:rsidRPr="007E2053">
        <w:rPr>
          <w:rFonts w:eastAsia="SimSun"/>
          <w:color w:val="000000"/>
          <w:szCs w:val="22"/>
          <w:lang w:val="sk-SK" w:eastAsia="sk-SK"/>
        </w:rPr>
        <w:t>nefajčiarov. Pôsobenie inhibítorov CYP1A2 (napr. fluvoxamínu, ciprofloxacínu) na plazmatické hladiny cinakalcetu nebolo skúmané. Úprava dávky môže byť nevyhnutná, ak pacient začne alebo skončí s</w:t>
      </w:r>
      <w:r w:rsidR="00AF60A4" w:rsidRPr="007E2053">
        <w:rPr>
          <w:rFonts w:eastAsia="SimSun"/>
          <w:color w:val="000000"/>
          <w:szCs w:val="22"/>
          <w:lang w:val="sk-SK" w:eastAsia="sk-SK"/>
        </w:rPr>
        <w:t> </w:t>
      </w:r>
      <w:r w:rsidRPr="007E2053">
        <w:rPr>
          <w:rFonts w:eastAsia="SimSun"/>
          <w:color w:val="000000"/>
          <w:szCs w:val="22"/>
          <w:lang w:val="sk-SK" w:eastAsia="sk-SK"/>
        </w:rPr>
        <w:t>fajčením</w:t>
      </w:r>
      <w:r w:rsidR="00AF60A4" w:rsidRPr="007E2053">
        <w:rPr>
          <w:rFonts w:eastAsia="SimSun"/>
          <w:color w:val="000000"/>
          <w:szCs w:val="22"/>
          <w:lang w:val="sk-SK" w:eastAsia="sk-SK"/>
        </w:rPr>
        <w:t>,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alebo ak bola začatá alebo ukončená súčasná liečba silnými inhibítormi CYP1A2.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Uhličitan vápenatý: 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Súbežné podávanie uhličitanu vápenatého (1 500 mg v jednej dávke) nemenilo farmakokinetiku cinakalcetu.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Sevelamer: 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Súbežné podávanie sevelameru (2 400 mg trikrát denne) neovplyvňovalo farmakokinetiku cinakalcetu.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Pantoprazol: 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Súbežné podávanie pantoprazolu (80 mg denne) nemenilo farmakokinetiku cinakalcetu.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Účinok cinakalcetu na iné liečivá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Lieky metabolizované prostredníctvom enzýmu P450 2D6 (CYP2D6): Cinakalcet je silný inhibítor CYP2D6. Úprava dávky súbežne podávaných liekov môže byť potrebná, ak sa </w:t>
      </w:r>
      <w:r w:rsidR="00AF60A4" w:rsidRPr="007E2053">
        <w:rPr>
          <w:rFonts w:eastAsia="SimSun"/>
          <w:color w:val="000000"/>
          <w:szCs w:val="22"/>
          <w:lang w:val="sk-SK" w:eastAsia="sk-SK"/>
        </w:rPr>
        <w:t>CINAMED podáva s 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individuálne titrovanými látkami s úzkym terapeutickým indexom, ktoré sa metabolizujú predovšetkým prostredníctvom CYP2D6 (napr. flekainid, propafenón, metoprolol, dezipramín, nortriptylín, klomipramín).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Dezipramín: 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Pri súbežnom podávaní 90 mg cinakalcetu raz denne spolu s 50 mg dezipramínu (tricyklické antidepresívum metabolizované prevažne enzýmom CYP2D6) sa významne zvýšila expozícia voči dezipramínu 3,6-krát (90 % IS 3,0; 4,4) v prípade silných CYP2D6 metabolizérov.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Dextrometorfán: 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Opakované dávky 50 mg cinakalcetu zvyšovali AUC 30 mg dextrometorfánu (metabolizovaného prevažne enzýmom CYP2D6) 11-násobne v prípade silných metabolizérov CYP2D6.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Warfarín: </w:t>
      </w:r>
      <w:r w:rsidRPr="007E2053">
        <w:rPr>
          <w:rFonts w:eastAsia="SimSun"/>
          <w:color w:val="000000"/>
          <w:szCs w:val="22"/>
          <w:lang w:val="sk-SK" w:eastAsia="sk-SK"/>
        </w:rPr>
        <w:t>Opakované perorálne dávky cinakalcetu neovplyvnili farmakokinetiku</w:t>
      </w:r>
      <w:r w:rsidR="00AF60A4" w:rsidRPr="007E2053">
        <w:rPr>
          <w:rFonts w:eastAsia="SimSun"/>
          <w:color w:val="000000"/>
          <w:szCs w:val="22"/>
          <w:lang w:val="sk-SK" w:eastAsia="sk-SK"/>
        </w:rPr>
        <w:t>,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ani farmakodynamiku warfarínu (stanovené pomocou protrombínového času a koagulačného faktora VII). </w:t>
      </w:r>
    </w:p>
    <w:p w:rsidR="00AF60A4" w:rsidRPr="007E2053" w:rsidRDefault="00AF60A4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Na základe chýbajúceho účinku cinakalcetu na farmakokinetiku R- a S-warfarínu a absencie autoindukcie po opakovanom podaní u pacientov možno predpokladať, že cinakalcet nie je induktorom CYP3A4, CYP1A2 alebo CYP2C9 u ľudí. </w:t>
      </w: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DD20CC" w:rsidRPr="007E2053" w:rsidRDefault="00DD20CC" w:rsidP="00DD20C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Midazolam: </w:t>
      </w:r>
      <w:r w:rsidRPr="007E2053">
        <w:rPr>
          <w:rFonts w:eastAsia="SimSun"/>
          <w:color w:val="000000"/>
          <w:szCs w:val="22"/>
          <w:lang w:val="sk-SK" w:eastAsia="sk-SK"/>
        </w:rPr>
        <w:t>Súbežné podávanie cinakalcetu (90 mg) spolu s perorálnym podaním midazolamu (2 mg), substrátu pre CYP3A4 a CYP3A5, neovplyvnilo farmakokinetiku midazolamu. Tieto údaje naznačujú, že cinakalcet by nemal ovplyvňovať farmakokinetiku tých skupín liek</w:t>
      </w:r>
      <w:r w:rsidR="006E4AFF" w:rsidRPr="007E2053">
        <w:rPr>
          <w:rFonts w:eastAsia="SimSun"/>
          <w:color w:val="000000"/>
          <w:szCs w:val="22"/>
          <w:lang w:val="sk-SK" w:eastAsia="sk-SK"/>
        </w:rPr>
        <w:t>ov, ktoré sú metabolizované cez </w:t>
      </w:r>
      <w:r w:rsidRPr="007E2053">
        <w:rPr>
          <w:rFonts w:eastAsia="SimSun"/>
          <w:color w:val="000000"/>
          <w:szCs w:val="22"/>
          <w:lang w:val="sk-SK" w:eastAsia="sk-SK"/>
        </w:rPr>
        <w:t>CYP3A4 a CYP3A5, ako sú niektoré imunosupresíva</w:t>
      </w:r>
      <w:r w:rsidR="006E4AFF" w:rsidRPr="007E2053">
        <w:rPr>
          <w:rFonts w:eastAsia="SimSun"/>
          <w:color w:val="000000"/>
          <w:szCs w:val="22"/>
          <w:lang w:val="sk-SK" w:eastAsia="sk-SK"/>
        </w:rPr>
        <w:t>,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vrátane cyklosporínu a takrolimu.</w:t>
      </w:r>
    </w:p>
    <w:p w:rsidR="00DD20CC" w:rsidRPr="007E2053" w:rsidRDefault="00DD20CC" w:rsidP="009036C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="76jga" w:eastAsia="SimSun" w:hAnsi="76jga" w:cs="76jga"/>
          <w:sz w:val="18"/>
          <w:szCs w:val="18"/>
          <w:lang w:val="sk-SK" w:eastAsia="sk-SK"/>
        </w:rPr>
      </w:pPr>
    </w:p>
    <w:p w:rsidR="001F4901" w:rsidRPr="007E2053" w:rsidRDefault="001F4901" w:rsidP="0029034C">
      <w:pPr>
        <w:keepNext/>
        <w:spacing w:line="240" w:lineRule="auto"/>
        <w:ind w:left="567" w:hanging="567"/>
        <w:outlineLvl w:val="0"/>
        <w:rPr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4.6</w:t>
      </w:r>
      <w:r w:rsidRPr="007E2053">
        <w:rPr>
          <w:b/>
          <w:noProof/>
          <w:szCs w:val="22"/>
          <w:lang w:val="sk-SK"/>
        </w:rPr>
        <w:tab/>
      </w:r>
      <w:r w:rsidR="001F5DE4" w:rsidRPr="007E2053">
        <w:rPr>
          <w:b/>
          <w:bCs/>
          <w:szCs w:val="22"/>
          <w:lang w:val="sk-SK"/>
        </w:rPr>
        <w:t>Fertilita, gravidita a laktácia</w:t>
      </w:r>
    </w:p>
    <w:p w:rsidR="001F4901" w:rsidRPr="007E2053" w:rsidRDefault="001F4901" w:rsidP="0029034C">
      <w:pPr>
        <w:keepNext/>
        <w:spacing w:line="240" w:lineRule="auto"/>
        <w:rPr>
          <w:noProof/>
          <w:szCs w:val="22"/>
          <w:lang w:val="sk-SK"/>
        </w:rPr>
      </w:pPr>
    </w:p>
    <w:p w:rsidR="00B8470A" w:rsidRPr="007E2053" w:rsidRDefault="00B8470A" w:rsidP="00B847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Gravidita </w:t>
      </w:r>
    </w:p>
    <w:p w:rsidR="00B8470A" w:rsidRPr="007E2053" w:rsidRDefault="00B8470A" w:rsidP="00B847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Nie sú k dispozícii žiadne klinické údaje o používaní cinakalcetu u gravidných žien. Štúdie na zvieratách nepreukázali priame škodlivé účinky na graviditu, pôrod alebo postnatálny vývoj. V štúdiách na gravidných potkanoch a králikoch sa nepozorovali žiadne známky toxicity na embryo/plod s výnimkou poklesu telesnej hmotnosti plodu u potkanov pri dávkach toxických pre samicu (pozri časť 5.3). CINAMED sa má použiť počas gravidity, len ak potenciálny úžitok z liečby prevyšuje možné riziko pre plod. </w:t>
      </w:r>
    </w:p>
    <w:p w:rsidR="00B8470A" w:rsidRPr="007E2053" w:rsidRDefault="00B8470A" w:rsidP="00B847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8470A" w:rsidRPr="007E2053" w:rsidRDefault="00B8470A" w:rsidP="00B847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Dojčenie </w:t>
      </w:r>
    </w:p>
    <w:p w:rsidR="00B8470A" w:rsidRPr="007E2053" w:rsidRDefault="00B8470A" w:rsidP="00B847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Nie je známe, či sa cinakalcet vylučuje do materského mlieka u ľudí. Cinakalcet sa vylučuje do materského mlieka u potkanov s vysokým pomerom koncentrácie v mlieku a plazme. Po dôkladnom zvážení pomeru prínosu a rizika sa treba rozhodnúť, či prerušiť dojčenie alebo liečbu CINAMEDOM. </w:t>
      </w:r>
    </w:p>
    <w:p w:rsidR="00B8470A" w:rsidRPr="007E2053" w:rsidRDefault="00B8470A" w:rsidP="00B847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</w:p>
    <w:p w:rsidR="00B8470A" w:rsidRPr="007E2053" w:rsidRDefault="00B8470A" w:rsidP="00B847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Fertilita </w:t>
      </w:r>
    </w:p>
    <w:p w:rsidR="00B94904" w:rsidRPr="007E2053" w:rsidRDefault="00B8470A" w:rsidP="00B8470A">
      <w:pPr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Nie sú k dispozícii žiadne klinické údaje týkajúce sa účinku cinakalcetu na fertilitu. V štúdiách na zvieratách sa nepozorovali žiadne účinky na fertilitu.</w:t>
      </w:r>
    </w:p>
    <w:p w:rsidR="00B8470A" w:rsidRPr="007E2053" w:rsidRDefault="00B8470A" w:rsidP="00B8470A">
      <w:pPr>
        <w:rPr>
          <w:szCs w:val="22"/>
          <w:lang w:val="sk-SK"/>
        </w:rPr>
      </w:pPr>
    </w:p>
    <w:p w:rsidR="001F4901" w:rsidRPr="007E2053" w:rsidRDefault="001F4901" w:rsidP="0029034C">
      <w:pPr>
        <w:spacing w:line="240" w:lineRule="auto"/>
        <w:ind w:left="567" w:hanging="567"/>
        <w:outlineLvl w:val="0"/>
        <w:rPr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4.7</w:t>
      </w:r>
      <w:r w:rsidRPr="007E2053">
        <w:rPr>
          <w:b/>
          <w:noProof/>
          <w:szCs w:val="22"/>
          <w:lang w:val="sk-SK"/>
        </w:rPr>
        <w:tab/>
      </w:r>
      <w:r w:rsidR="00DD6BE5" w:rsidRPr="007E2053">
        <w:rPr>
          <w:b/>
          <w:noProof/>
          <w:szCs w:val="22"/>
          <w:lang w:val="sk-SK"/>
        </w:rPr>
        <w:t>Ovplyvnenie schopnosti viesť vozidlá a obsluhovať stroje</w:t>
      </w:r>
    </w:p>
    <w:p w:rsidR="001F4901" w:rsidRPr="007E2053" w:rsidRDefault="001F4901" w:rsidP="0029034C">
      <w:pPr>
        <w:spacing w:line="240" w:lineRule="auto"/>
        <w:rPr>
          <w:noProof/>
          <w:szCs w:val="22"/>
          <w:lang w:val="sk-SK"/>
        </w:rPr>
      </w:pPr>
    </w:p>
    <w:p w:rsidR="00E444D7" w:rsidRPr="007E2053" w:rsidRDefault="00F35C6B" w:rsidP="00E444D7">
      <w:pPr>
        <w:spacing w:line="240" w:lineRule="auto"/>
        <w:rPr>
          <w:szCs w:val="22"/>
          <w:lang w:val="sk-SK"/>
        </w:rPr>
      </w:pPr>
      <w:r w:rsidRPr="007E2053">
        <w:rPr>
          <w:szCs w:val="22"/>
          <w:lang w:val="sk-SK"/>
        </w:rPr>
        <w:t xml:space="preserve">U pacientov užívajúcich </w:t>
      </w:r>
      <w:r w:rsidR="00BB70E2" w:rsidRPr="007E2053">
        <w:rPr>
          <w:rFonts w:eastAsia="SimSun"/>
          <w:color w:val="000000"/>
          <w:szCs w:val="22"/>
          <w:lang w:val="sk-SK" w:eastAsia="sk-SK"/>
        </w:rPr>
        <w:t>cinakalcet</w:t>
      </w:r>
      <w:r w:rsidRPr="007E2053">
        <w:rPr>
          <w:szCs w:val="22"/>
          <w:lang w:val="sk-SK"/>
        </w:rPr>
        <w:t xml:space="preserve"> boli hlásené </w:t>
      </w:r>
      <w:r w:rsidRPr="00173100">
        <w:rPr>
          <w:szCs w:val="22"/>
          <w:lang w:val="sk-SK"/>
        </w:rPr>
        <w:t>závrat</w:t>
      </w:r>
      <w:r w:rsidR="00173100" w:rsidRPr="00173100">
        <w:rPr>
          <w:szCs w:val="22"/>
          <w:lang w:val="sk-SK"/>
        </w:rPr>
        <w:t>y</w:t>
      </w:r>
      <w:r w:rsidRPr="00173100">
        <w:rPr>
          <w:szCs w:val="22"/>
          <w:lang w:val="sk-SK"/>
        </w:rPr>
        <w:t xml:space="preserve"> a</w:t>
      </w:r>
      <w:r w:rsidRPr="007E2053">
        <w:rPr>
          <w:szCs w:val="22"/>
          <w:lang w:val="sk-SK"/>
        </w:rPr>
        <w:t xml:space="preserve"> záchvaty, ktoré môžu významne ovplyvňovať schopnosť viesť vozidlá a obsluhovať stroje (pozri časť 4.4).</w:t>
      </w:r>
    </w:p>
    <w:p w:rsidR="00F35C6B" w:rsidRPr="007E2053" w:rsidRDefault="00F35C6B" w:rsidP="00E444D7">
      <w:pPr>
        <w:spacing w:line="240" w:lineRule="auto"/>
        <w:rPr>
          <w:szCs w:val="22"/>
          <w:lang w:val="sk-SK"/>
        </w:rPr>
      </w:pPr>
    </w:p>
    <w:p w:rsidR="00216DC8" w:rsidRPr="007E2053" w:rsidRDefault="00216DC8" w:rsidP="00E444D7">
      <w:pPr>
        <w:spacing w:line="240" w:lineRule="auto"/>
        <w:rPr>
          <w:szCs w:val="22"/>
          <w:lang w:val="sk-SK"/>
        </w:rPr>
      </w:pPr>
    </w:p>
    <w:p w:rsidR="001F4901" w:rsidRPr="007E2053" w:rsidRDefault="001F4901" w:rsidP="0029034C">
      <w:pPr>
        <w:keepNext/>
        <w:spacing w:line="240" w:lineRule="auto"/>
        <w:outlineLvl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4.8</w:t>
      </w:r>
      <w:r w:rsidRPr="007E2053">
        <w:rPr>
          <w:b/>
          <w:noProof/>
          <w:szCs w:val="22"/>
          <w:lang w:val="sk-SK"/>
        </w:rPr>
        <w:tab/>
      </w:r>
      <w:r w:rsidR="003023F5" w:rsidRPr="007E2053">
        <w:rPr>
          <w:b/>
          <w:noProof/>
          <w:szCs w:val="22"/>
          <w:lang w:val="sk-SK"/>
        </w:rPr>
        <w:t>Nežiaduce účinky</w:t>
      </w:r>
    </w:p>
    <w:p w:rsidR="00F35C6B" w:rsidRPr="007E2053" w:rsidRDefault="00F35C6B" w:rsidP="00F35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 w:val="24"/>
          <w:szCs w:val="24"/>
          <w:lang w:val="sk-SK" w:eastAsia="sk-SK"/>
        </w:rPr>
      </w:pPr>
    </w:p>
    <w:p w:rsidR="00F35C6B" w:rsidRPr="007E2053" w:rsidRDefault="00F35C6B" w:rsidP="00F35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a) Súhrn bezpečnostného profilu </w:t>
      </w:r>
    </w:p>
    <w:p w:rsidR="00F35C6B" w:rsidRPr="007E2053" w:rsidRDefault="00F35C6B" w:rsidP="00F35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7E2053">
        <w:rPr>
          <w:rFonts w:eastAsia="SimSun"/>
          <w:color w:val="000000"/>
          <w:szCs w:val="22"/>
          <w:u w:val="single"/>
          <w:lang w:val="sk-SK" w:eastAsia="sk-SK"/>
        </w:rPr>
        <w:t xml:space="preserve">Sekundárna hyperparatyreóza, paratyreoidný karcinóm a primárna hyperparatyreóza </w:t>
      </w:r>
    </w:p>
    <w:p w:rsidR="00F35C6B" w:rsidRPr="007E2053" w:rsidRDefault="00F35C6B" w:rsidP="00F35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Na základe dostupných údajov od pacientov užívajúcich cinakalcet v placebom kontrolovaných štúdiách a v štúdiách s jednou skupinou boli najčastejšie hlásené nežiaduce reakcie nauzea a vracanie. Nauzea a vracanie boli mierne až stredne závažné a prechodné u väčšiny pacientov. Prerušenie liečby pre výskyt nežiaducich účinkov bolo predovšetkým pre nauzeu a vracanie. </w:t>
      </w:r>
    </w:p>
    <w:p w:rsidR="00660E07" w:rsidRPr="007E2053" w:rsidRDefault="00660E07" w:rsidP="00F35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F35C6B" w:rsidRPr="007E2053" w:rsidRDefault="00F35C6B" w:rsidP="00F35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b) Zoznam nežiaducich reakcií zoradených do tabuľky </w:t>
      </w:r>
    </w:p>
    <w:p w:rsidR="00627F50" w:rsidRPr="007E2053" w:rsidRDefault="00F35C6B" w:rsidP="00F35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lastRenderedPageBreak/>
        <w:t xml:space="preserve">Nežiaduce reakcie, ktoré je možné aspoň pravdepodobne prisúdiť </w:t>
      </w:r>
      <w:r w:rsidR="008B65A8" w:rsidRPr="007E2053">
        <w:rPr>
          <w:rFonts w:eastAsia="SimSun"/>
          <w:color w:val="000000"/>
          <w:szCs w:val="22"/>
          <w:lang w:val="sk-SK" w:eastAsia="sk-SK"/>
        </w:rPr>
        <w:t>následkom liečby cinakalcetom v </w:t>
      </w:r>
      <w:r w:rsidRPr="007E2053">
        <w:rPr>
          <w:rFonts w:eastAsia="SimSun"/>
          <w:color w:val="000000"/>
          <w:szCs w:val="22"/>
          <w:lang w:val="sk-SK" w:eastAsia="sk-SK"/>
        </w:rPr>
        <w:t>placebom kontrolovaných štúdiách a v štúdiách s jednou skupinou na základe stanovenia príčinných súvislostí sú uvedené nižšie s použitím nasledujúcej konvencie: veľmi časté (≥ 1/10); časté (≥ 1/100 až &lt; 1/10); menej časté (≥ 1/1 000 až &lt; 1/100); zriedkavé (≥ 1/10 000 až</w:t>
      </w:r>
      <w:r w:rsidR="008B65A8" w:rsidRPr="007E2053">
        <w:rPr>
          <w:rFonts w:eastAsia="SimSun"/>
          <w:color w:val="000000"/>
          <w:szCs w:val="22"/>
          <w:lang w:val="sk-SK" w:eastAsia="sk-SK"/>
        </w:rPr>
        <w:t xml:space="preserve"> &lt; 1/1 000); veľmi zriedkavé (&lt; </w:t>
      </w:r>
      <w:r w:rsidRPr="007E2053">
        <w:rPr>
          <w:rFonts w:eastAsia="SimSun"/>
          <w:color w:val="000000"/>
          <w:szCs w:val="22"/>
          <w:lang w:val="sk-SK" w:eastAsia="sk-SK"/>
        </w:rPr>
        <w:t>1/10 000).</w:t>
      </w:r>
    </w:p>
    <w:p w:rsidR="008B65A8" w:rsidRPr="007E2053" w:rsidRDefault="008B65A8" w:rsidP="00F35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:rsidR="008B65A8" w:rsidRPr="007E2053" w:rsidRDefault="008B65A8" w:rsidP="00F35C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7E2053">
        <w:rPr>
          <w:szCs w:val="22"/>
          <w:lang w:val="sk-SK"/>
        </w:rPr>
        <w:t>Výskyt nežiaducich reakcií z kontrolovaných klinických štúdií a so skúseností po uvedení lieku na trh sú:</w:t>
      </w:r>
    </w:p>
    <w:p w:rsidR="00B94904" w:rsidRPr="007E2053" w:rsidRDefault="00B94904" w:rsidP="00627F5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4252"/>
      </w:tblGrid>
      <w:tr w:rsidR="00216DC8" w:rsidRPr="007E2053" w:rsidTr="00216DC8">
        <w:trPr>
          <w:tblHeader/>
        </w:trPr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7E2053">
              <w:rPr>
                <w:b/>
                <w:bCs/>
                <w:sz w:val="22"/>
                <w:szCs w:val="22"/>
                <w:lang w:val="sk-SK"/>
              </w:rPr>
              <w:t xml:space="preserve">Trieda orgánových systémov podľa databázy MedDRA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7E2053">
              <w:rPr>
                <w:b/>
                <w:bCs/>
                <w:sz w:val="22"/>
                <w:szCs w:val="22"/>
                <w:lang w:val="sk-SK"/>
              </w:rPr>
              <w:t xml:space="preserve">Výskyt </w:t>
            </w:r>
          </w:p>
          <w:p w:rsidR="00216DC8" w:rsidRPr="007E2053" w:rsidRDefault="00216DC8" w:rsidP="0009131C">
            <w:pPr>
              <w:jc w:val="center"/>
              <w:rPr>
                <w:i/>
                <w:szCs w:val="22"/>
                <w:lang w:val="sk-SK"/>
              </w:rPr>
            </w:pP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jc w:val="center"/>
              <w:rPr>
                <w:sz w:val="22"/>
                <w:szCs w:val="22"/>
                <w:lang w:val="sk-SK"/>
              </w:rPr>
            </w:pPr>
            <w:r w:rsidRPr="007E2053">
              <w:rPr>
                <w:b/>
                <w:bCs/>
                <w:sz w:val="22"/>
                <w:szCs w:val="22"/>
                <w:lang w:val="sk-SK"/>
              </w:rPr>
              <w:t>Nežiaduca reakcia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Poruchy imunitného systému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Časté* 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Hypersenzitívne reakcie 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Poruchy metabolizmu a výživy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09131C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Cs w:val="22"/>
                <w:lang w:val="sk-SK"/>
              </w:rPr>
            </w:pPr>
            <w:r w:rsidRPr="007E2053">
              <w:rPr>
                <w:rFonts w:eastAsia="TimesNewRoman"/>
                <w:szCs w:val="22"/>
                <w:lang w:val="sk-SK"/>
              </w:rPr>
              <w:t>Anorexia</w:t>
            </w:r>
          </w:p>
          <w:p w:rsidR="00216DC8" w:rsidRPr="007E2053" w:rsidRDefault="00216DC8" w:rsidP="0009131C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szCs w:val="22"/>
                <w:lang w:val="sk-SK"/>
              </w:rPr>
            </w:pPr>
            <w:r w:rsidRPr="007E2053">
              <w:rPr>
                <w:rFonts w:eastAsia="TimesNewRoman"/>
                <w:szCs w:val="22"/>
                <w:lang w:val="sk-SK"/>
              </w:rPr>
              <w:t>Znížená chuť do jedla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Poruchy nervového systému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213CE3">
            <w:pPr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216DC8">
              <w:rPr>
                <w:rFonts w:eastAsia="SimSun"/>
                <w:color w:val="000000"/>
                <w:szCs w:val="22"/>
                <w:lang w:val="sk-SK" w:eastAsia="sk-SK"/>
              </w:rPr>
              <w:t>Kŕče†</w:t>
            </w:r>
          </w:p>
          <w:p w:rsidR="00216DC8" w:rsidRPr="007E2053" w:rsidRDefault="00216DC8" w:rsidP="00213CE3">
            <w:pPr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7E2053">
              <w:rPr>
                <w:rFonts w:eastAsia="SimSun"/>
                <w:color w:val="000000"/>
                <w:szCs w:val="22"/>
                <w:lang w:val="sk-SK" w:eastAsia="sk-SK"/>
              </w:rPr>
              <w:t>Závrat</w:t>
            </w:r>
          </w:p>
          <w:p w:rsidR="00216DC8" w:rsidRPr="007E2053" w:rsidRDefault="00216DC8" w:rsidP="00213CE3">
            <w:pPr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7E2053">
              <w:rPr>
                <w:rFonts w:eastAsia="SimSun"/>
                <w:color w:val="000000"/>
                <w:szCs w:val="22"/>
                <w:lang w:val="sk-SK" w:eastAsia="sk-SK"/>
              </w:rPr>
              <w:t>Parestézia</w:t>
            </w:r>
          </w:p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rFonts w:eastAsia="SimSun"/>
                <w:color w:val="000000"/>
                <w:szCs w:val="22"/>
                <w:lang w:val="sk-SK" w:eastAsia="sk-SK"/>
              </w:rPr>
              <w:t>Bolesť hlavy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Poruchy srdca a srdcovej činnosti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Neznáme* 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213CE3">
            <w:pPr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216DC8">
              <w:rPr>
                <w:rFonts w:eastAsia="SimSun"/>
                <w:color w:val="000000"/>
                <w:szCs w:val="22"/>
                <w:lang w:val="sk-SK" w:eastAsia="sk-SK"/>
              </w:rPr>
              <w:t>Zhoršenie srdcového zlyhania†</w:t>
            </w:r>
          </w:p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rFonts w:eastAsia="SimSun"/>
                <w:color w:val="000000"/>
                <w:szCs w:val="22"/>
                <w:lang w:val="sk-SK" w:eastAsia="sk-SK"/>
              </w:rPr>
              <w:t>Predĺženie QT intervalu a </w:t>
            </w:r>
            <w:r w:rsidRPr="00216DC8">
              <w:rPr>
                <w:rFonts w:eastAsia="SimSun"/>
                <w:color w:val="000000"/>
                <w:szCs w:val="22"/>
                <w:lang w:val="sk-SK" w:eastAsia="sk-SK"/>
              </w:rPr>
              <w:t>ventrikulárna arytmia</w:t>
            </w:r>
            <w:r w:rsidRPr="007E2053">
              <w:rPr>
                <w:rFonts w:eastAsia="SimSun"/>
                <w:color w:val="000000"/>
                <w:szCs w:val="22"/>
                <w:lang w:val="sk-SK" w:eastAsia="sk-SK"/>
              </w:rPr>
              <w:t xml:space="preserve"> </w:t>
            </w:r>
            <w:r w:rsidRPr="00216DC8">
              <w:rPr>
                <w:rFonts w:eastAsia="SimSun"/>
                <w:color w:val="000000"/>
                <w:szCs w:val="22"/>
                <w:lang w:val="sk-SK" w:eastAsia="sk-SK"/>
              </w:rPr>
              <w:t>sekundárne pri hypokalciémii†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Poruchy ciev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Hypotrenzia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Poruchy dýchacej sústavy, hrudníka a mediastína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E21E0D">
            <w:pPr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216DC8">
              <w:rPr>
                <w:rFonts w:eastAsia="SimSun"/>
                <w:color w:val="000000"/>
                <w:szCs w:val="22"/>
                <w:lang w:val="sk-SK" w:eastAsia="sk-SK"/>
              </w:rPr>
              <w:t>Infekcia horných dýchacích ciest</w:t>
            </w:r>
          </w:p>
          <w:p w:rsidR="00216DC8" w:rsidRPr="007E2053" w:rsidRDefault="00216DC8" w:rsidP="00E21E0D">
            <w:pPr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7E2053">
              <w:rPr>
                <w:rFonts w:eastAsia="SimSun"/>
                <w:color w:val="000000"/>
                <w:szCs w:val="22"/>
                <w:lang w:val="sk-SK" w:eastAsia="sk-SK"/>
              </w:rPr>
              <w:t>Dyspnoe</w:t>
            </w:r>
          </w:p>
          <w:p w:rsidR="00216DC8" w:rsidRPr="007E2053" w:rsidRDefault="00216DC8" w:rsidP="00E21E0D">
            <w:pPr>
              <w:rPr>
                <w:szCs w:val="22"/>
                <w:lang w:val="sk-SK"/>
              </w:rPr>
            </w:pPr>
            <w:r w:rsidRPr="007E2053">
              <w:rPr>
                <w:rFonts w:eastAsia="SimSun"/>
                <w:color w:val="000000"/>
                <w:szCs w:val="22"/>
                <w:lang w:val="sk-SK" w:eastAsia="sk-SK"/>
              </w:rPr>
              <w:t>Kašeľ</w:t>
            </w:r>
          </w:p>
        </w:tc>
      </w:tr>
      <w:tr w:rsidR="00216DC8" w:rsidRPr="007E2053" w:rsidTr="00216DC8">
        <w:tc>
          <w:tcPr>
            <w:tcW w:w="3227" w:type="dxa"/>
            <w:vMerge w:val="restart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Poruchy gastrointestinálneho traktu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Veľmi časté 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Nauzea</w:t>
            </w:r>
          </w:p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Vracanie</w:t>
            </w:r>
          </w:p>
        </w:tc>
      </w:tr>
      <w:tr w:rsidR="00216DC8" w:rsidRPr="007E2053" w:rsidTr="00216DC8">
        <w:tc>
          <w:tcPr>
            <w:tcW w:w="3227" w:type="dxa"/>
            <w:vMerge/>
            <w:shd w:val="clear" w:color="auto" w:fill="auto"/>
          </w:tcPr>
          <w:p w:rsidR="00216DC8" w:rsidRPr="007E2053" w:rsidRDefault="00216DC8" w:rsidP="0009131C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rFonts w:eastAsia="TimesNewRoman,Italic"/>
                <w:i/>
                <w:iCs/>
                <w:szCs w:val="22"/>
                <w:lang w:val="sk-SK"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E21E0D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Dyspepsia</w:t>
            </w:r>
          </w:p>
          <w:p w:rsidR="00216DC8" w:rsidRPr="007E2053" w:rsidRDefault="00216DC8" w:rsidP="00E21E0D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Hnačka</w:t>
            </w:r>
          </w:p>
          <w:p w:rsidR="00216DC8" w:rsidRPr="007E2053" w:rsidRDefault="00216DC8" w:rsidP="00E21E0D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Bolesť brucha</w:t>
            </w:r>
          </w:p>
          <w:p w:rsidR="00216DC8" w:rsidRPr="007E2053" w:rsidRDefault="00216DC8" w:rsidP="00E21E0D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Bolesť brucha – v hornej časti</w:t>
            </w:r>
          </w:p>
          <w:p w:rsidR="00216DC8" w:rsidRPr="007E2053" w:rsidRDefault="00216DC8" w:rsidP="00E21E0D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Zápcha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Poruchy kože a podkožného tkaniva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Vyrážka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Poruchy kostrovej a svalovej sústavy a spojivového tkaniva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Myalgia</w:t>
            </w:r>
          </w:p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Svalové spazmy</w:t>
            </w:r>
          </w:p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Bolesť chrbta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Celkové poruchy a reakcie v mieste podania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216DC8" w:rsidP="00213CE3">
            <w:pPr>
              <w:rPr>
                <w:szCs w:val="22"/>
                <w:lang w:val="sk-SK"/>
              </w:rPr>
            </w:pPr>
            <w:r w:rsidRPr="007E2053">
              <w:rPr>
                <w:szCs w:val="22"/>
                <w:lang w:val="sk-SK"/>
              </w:rPr>
              <w:t>Asténia</w:t>
            </w:r>
          </w:p>
        </w:tc>
      </w:tr>
      <w:tr w:rsidR="00216DC8" w:rsidRPr="007E2053" w:rsidTr="00216DC8">
        <w:tc>
          <w:tcPr>
            <w:tcW w:w="3227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Laboratórne a funkčné vyšetrenia </w:t>
            </w:r>
          </w:p>
        </w:tc>
        <w:tc>
          <w:tcPr>
            <w:tcW w:w="1701" w:type="dxa"/>
            <w:shd w:val="clear" w:color="auto" w:fill="auto"/>
          </w:tcPr>
          <w:p w:rsidR="00216DC8" w:rsidRPr="007E2053" w:rsidRDefault="00216DC8" w:rsidP="00216DC8">
            <w:pPr>
              <w:pStyle w:val="Default"/>
              <w:rPr>
                <w:sz w:val="22"/>
                <w:szCs w:val="22"/>
                <w:lang w:val="sk-SK"/>
              </w:rPr>
            </w:pPr>
            <w:r w:rsidRPr="007E2053">
              <w:rPr>
                <w:sz w:val="22"/>
                <w:szCs w:val="22"/>
                <w:lang w:val="sk-SK"/>
              </w:rPr>
              <w:t xml:space="preserve">Časté </w:t>
            </w:r>
          </w:p>
        </w:tc>
        <w:tc>
          <w:tcPr>
            <w:tcW w:w="4252" w:type="dxa"/>
            <w:shd w:val="clear" w:color="auto" w:fill="auto"/>
          </w:tcPr>
          <w:p w:rsidR="00216DC8" w:rsidRPr="007E2053" w:rsidRDefault="00514A19" w:rsidP="00213CE3">
            <w:pPr>
              <w:rPr>
                <w:rFonts w:eastAsia="SimSun"/>
                <w:color w:val="000000"/>
                <w:sz w:val="14"/>
                <w:szCs w:val="14"/>
                <w:lang w:val="sk-SK" w:eastAsia="sk-SK"/>
              </w:rPr>
            </w:pPr>
            <w:r w:rsidRPr="00514A19">
              <w:rPr>
                <w:rFonts w:eastAsia="SimSun"/>
                <w:color w:val="000000"/>
                <w:szCs w:val="22"/>
                <w:lang w:val="sk-SK" w:eastAsia="sk-SK"/>
              </w:rPr>
              <w:t>Hypokalciémia†</w:t>
            </w:r>
          </w:p>
          <w:p w:rsidR="00514A19" w:rsidRPr="007E2053" w:rsidRDefault="00514A19" w:rsidP="00213CE3">
            <w:pPr>
              <w:rPr>
                <w:rFonts w:eastAsia="SimSun"/>
                <w:color w:val="000000"/>
                <w:szCs w:val="22"/>
                <w:lang w:val="sk-SK" w:eastAsia="sk-SK"/>
              </w:rPr>
            </w:pPr>
            <w:r w:rsidRPr="00514A19">
              <w:rPr>
                <w:rFonts w:eastAsia="SimSun"/>
                <w:color w:val="000000"/>
                <w:szCs w:val="22"/>
                <w:lang w:val="sk-SK" w:eastAsia="sk-SK"/>
              </w:rPr>
              <w:t>Hyperkaliémia</w:t>
            </w:r>
          </w:p>
          <w:p w:rsidR="00514A19" w:rsidRPr="007E2053" w:rsidRDefault="00514A19" w:rsidP="00213CE3">
            <w:pPr>
              <w:rPr>
                <w:szCs w:val="22"/>
                <w:lang w:val="sk-SK"/>
              </w:rPr>
            </w:pPr>
            <w:r w:rsidRPr="00514A19">
              <w:rPr>
                <w:rFonts w:eastAsia="SimSun"/>
                <w:color w:val="000000"/>
                <w:szCs w:val="22"/>
                <w:lang w:val="sk-SK" w:eastAsia="sk-SK"/>
              </w:rPr>
              <w:t>Znížené hladiny testosterónu†</w:t>
            </w:r>
          </w:p>
        </w:tc>
      </w:tr>
    </w:tbl>
    <w:p w:rsidR="00216DC8" w:rsidRPr="00216DC8" w:rsidRDefault="00216DC8" w:rsidP="00216DC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216DC8">
        <w:rPr>
          <w:rFonts w:eastAsia="SimSun"/>
          <w:color w:val="000000"/>
          <w:szCs w:val="22"/>
          <w:lang w:val="sk-SK" w:eastAsia="sk-SK"/>
        </w:rPr>
        <w:t xml:space="preserve">†pozri časť 4.4 </w:t>
      </w:r>
    </w:p>
    <w:p w:rsidR="00B95E64" w:rsidRPr="007E2053" w:rsidRDefault="00216DC8" w:rsidP="00216DC8">
      <w:pPr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*pozri časť c</w:t>
      </w:r>
    </w:p>
    <w:p w:rsidR="00660E07" w:rsidRPr="003C060A" w:rsidRDefault="00660E07" w:rsidP="003C06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 w:val="24"/>
          <w:szCs w:val="24"/>
          <w:lang w:val="sk-SK" w:eastAsia="sk-SK"/>
        </w:rPr>
      </w:pPr>
    </w:p>
    <w:p w:rsidR="003C060A" w:rsidRPr="003C060A" w:rsidRDefault="003C060A" w:rsidP="003C06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3C060A">
        <w:rPr>
          <w:rFonts w:eastAsia="SimSun"/>
          <w:color w:val="000000"/>
          <w:szCs w:val="22"/>
          <w:lang w:val="sk-SK" w:eastAsia="sk-SK"/>
        </w:rPr>
        <w:t xml:space="preserve">c) Opis vybraných nežiaducich reakcií </w:t>
      </w:r>
    </w:p>
    <w:p w:rsidR="003C060A" w:rsidRPr="007E2053" w:rsidRDefault="003C060A" w:rsidP="003C06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3C060A" w:rsidRPr="003C060A" w:rsidRDefault="003C060A" w:rsidP="003C06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3C060A">
        <w:rPr>
          <w:rFonts w:eastAsia="SimSun"/>
          <w:i/>
          <w:iCs/>
          <w:color w:val="000000"/>
          <w:szCs w:val="22"/>
          <w:lang w:val="sk-SK" w:eastAsia="sk-SK"/>
        </w:rPr>
        <w:t xml:space="preserve">Hypersenzitívne reakcie </w:t>
      </w:r>
    </w:p>
    <w:p w:rsidR="003C060A" w:rsidRPr="003C060A" w:rsidRDefault="003C060A" w:rsidP="003C06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3C060A">
        <w:rPr>
          <w:rFonts w:eastAsia="SimSun"/>
          <w:color w:val="000000"/>
          <w:szCs w:val="22"/>
          <w:lang w:val="sk-SK" w:eastAsia="sk-SK"/>
        </w:rPr>
        <w:t xml:space="preserve">Po uvedení </w:t>
      </w:r>
      <w:r w:rsidR="00BB70E2" w:rsidRPr="007E2053">
        <w:rPr>
          <w:rFonts w:eastAsia="SimSun"/>
          <w:color w:val="000000"/>
          <w:szCs w:val="22"/>
          <w:lang w:val="sk-SK" w:eastAsia="sk-SK"/>
        </w:rPr>
        <w:t xml:space="preserve">cinakalcetu </w:t>
      </w:r>
      <w:r w:rsidRPr="003C060A">
        <w:rPr>
          <w:rFonts w:eastAsia="SimSun"/>
          <w:color w:val="000000"/>
          <w:szCs w:val="22"/>
          <w:lang w:val="sk-SK" w:eastAsia="sk-SK"/>
        </w:rPr>
        <w:t>na trh sa zaznamenali hypersenzitív</w:t>
      </w:r>
      <w:r w:rsidR="00BB70E2" w:rsidRPr="007E2053">
        <w:rPr>
          <w:rFonts w:eastAsia="SimSun"/>
          <w:color w:val="000000"/>
          <w:szCs w:val="22"/>
          <w:lang w:val="sk-SK" w:eastAsia="sk-SK"/>
        </w:rPr>
        <w:t>ne reakcie vrátane angioedému a </w:t>
      </w:r>
      <w:r w:rsidRPr="003C060A">
        <w:rPr>
          <w:rFonts w:eastAsia="SimSun"/>
          <w:color w:val="000000"/>
          <w:szCs w:val="22"/>
          <w:lang w:val="sk-SK" w:eastAsia="sk-SK"/>
        </w:rPr>
        <w:t xml:space="preserve">urtikárie. Frekvencie jednotlivých uprednostňovaných termínov vrátane angioedému a urtikárie nie je možné odhadnúť z dostupných údajov. </w:t>
      </w:r>
    </w:p>
    <w:p w:rsidR="00BB70E2" w:rsidRPr="007E2053" w:rsidRDefault="00BB70E2" w:rsidP="003C06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3C060A" w:rsidRPr="003C060A" w:rsidRDefault="003C060A" w:rsidP="003C06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3C060A">
        <w:rPr>
          <w:rFonts w:eastAsia="SimSun"/>
          <w:i/>
          <w:iCs/>
          <w:color w:val="000000"/>
          <w:szCs w:val="22"/>
          <w:lang w:val="sk-SK" w:eastAsia="sk-SK"/>
        </w:rPr>
        <w:t xml:space="preserve">Hypotenzia a/alebo zhoršenie srdcového zlyhania </w:t>
      </w:r>
    </w:p>
    <w:p w:rsidR="001E1CA0" w:rsidRPr="007E2053" w:rsidRDefault="003C060A" w:rsidP="003C060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U pacientov s poruchou srdcovej funkcie lieč</w:t>
      </w:r>
      <w:r w:rsidR="00BB70E2" w:rsidRPr="007E2053">
        <w:rPr>
          <w:rFonts w:eastAsia="SimSun"/>
          <w:color w:val="000000"/>
          <w:szCs w:val="22"/>
          <w:lang w:val="sk-SK" w:eastAsia="sk-SK"/>
        </w:rPr>
        <w:t>ených cinakalcetom sa počas sledovania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bezpeč</w:t>
      </w:r>
      <w:r w:rsidR="00BB70E2" w:rsidRPr="007E2053">
        <w:rPr>
          <w:rFonts w:eastAsia="SimSun"/>
          <w:color w:val="000000"/>
          <w:szCs w:val="22"/>
          <w:lang w:val="sk-SK" w:eastAsia="sk-SK"/>
        </w:rPr>
        <w:t>nosti po </w:t>
      </w:r>
      <w:r w:rsidRPr="007E2053">
        <w:rPr>
          <w:rFonts w:eastAsia="SimSun"/>
          <w:color w:val="000000"/>
          <w:szCs w:val="22"/>
          <w:lang w:val="sk-SK" w:eastAsia="sk-SK"/>
        </w:rPr>
        <w:t>uvedení lieku na trh zaznamenali idiosynkratické prípady hypotenzie a/alebo zhoršenie srdcového zlyhania, ktorých frekvencie nie je možné odhadnúť z dostupných údajov.</w:t>
      </w:r>
    </w:p>
    <w:p w:rsidR="00BB70E2" w:rsidRPr="007E2053" w:rsidRDefault="00BB70E2" w:rsidP="00213CE3">
      <w:pPr>
        <w:suppressLineNumbers/>
        <w:autoSpaceDE w:val="0"/>
        <w:autoSpaceDN w:val="0"/>
        <w:adjustRightInd w:val="0"/>
        <w:rPr>
          <w:b/>
          <w:noProof/>
          <w:szCs w:val="22"/>
          <w:lang w:val="sk-SK"/>
        </w:rPr>
      </w:pPr>
    </w:p>
    <w:p w:rsidR="00BB70E2" w:rsidRPr="00BB70E2" w:rsidRDefault="00BB70E2" w:rsidP="00BB70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BB70E2">
        <w:rPr>
          <w:rFonts w:eastAsia="SimSun"/>
          <w:i/>
          <w:iCs/>
          <w:color w:val="000000"/>
          <w:szCs w:val="22"/>
          <w:lang w:val="sk-SK" w:eastAsia="sk-SK"/>
        </w:rPr>
        <w:t xml:space="preserve">Predĺženie QT intervalu a ventrikulárna arytmia sekundárne pri hypokalciémii </w:t>
      </w:r>
    </w:p>
    <w:p w:rsidR="00BB70E2" w:rsidRPr="00BB70E2" w:rsidRDefault="00BB70E2" w:rsidP="00BB70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Po uvedení </w:t>
      </w:r>
      <w:r w:rsidRPr="00BB70E2">
        <w:rPr>
          <w:rFonts w:eastAsia="SimSun"/>
          <w:color w:val="000000"/>
          <w:szCs w:val="22"/>
          <w:lang w:val="sk-SK" w:eastAsia="sk-SK"/>
        </w:rPr>
        <w:t xml:space="preserve">na trh sa počas používania </w:t>
      </w:r>
      <w:r w:rsidRPr="007E2053">
        <w:rPr>
          <w:rFonts w:eastAsia="SimSun"/>
          <w:color w:val="000000"/>
          <w:szCs w:val="22"/>
          <w:lang w:val="sk-SK" w:eastAsia="sk-SK"/>
        </w:rPr>
        <w:t>cinakalcetu</w:t>
      </w:r>
      <w:r w:rsidRPr="00BB70E2">
        <w:rPr>
          <w:rFonts w:eastAsia="SimSun"/>
          <w:color w:val="000000"/>
          <w:szCs w:val="22"/>
          <w:lang w:val="sk-SK" w:eastAsia="sk-SK"/>
        </w:rPr>
        <w:t xml:space="preserve"> zaznamenali </w:t>
      </w:r>
      <w:r w:rsidRPr="007E2053">
        <w:rPr>
          <w:rFonts w:eastAsia="SimSun"/>
          <w:color w:val="000000"/>
          <w:szCs w:val="22"/>
          <w:lang w:val="sk-SK" w:eastAsia="sk-SK"/>
        </w:rPr>
        <w:t>predĺženie QT intervalu a </w:t>
      </w:r>
      <w:r w:rsidRPr="00BB70E2">
        <w:rPr>
          <w:rFonts w:eastAsia="SimSun"/>
          <w:color w:val="000000"/>
          <w:szCs w:val="22"/>
          <w:lang w:val="sk-SK" w:eastAsia="sk-SK"/>
        </w:rPr>
        <w:t>ventrikulárna arytmia sekundárne pri hypokalciémii, ktorých fre</w:t>
      </w:r>
      <w:r w:rsidRPr="007E2053">
        <w:rPr>
          <w:rFonts w:eastAsia="SimSun"/>
          <w:color w:val="000000"/>
          <w:szCs w:val="22"/>
          <w:lang w:val="sk-SK" w:eastAsia="sk-SK"/>
        </w:rPr>
        <w:t>kvencie nie je možné odhadnúť z </w:t>
      </w:r>
      <w:r w:rsidRPr="00BB70E2">
        <w:rPr>
          <w:rFonts w:eastAsia="SimSun"/>
          <w:color w:val="000000"/>
          <w:szCs w:val="22"/>
          <w:lang w:val="sk-SK" w:eastAsia="sk-SK"/>
        </w:rPr>
        <w:t xml:space="preserve">dostupných údajov (pozri časť 4.4). </w:t>
      </w:r>
    </w:p>
    <w:p w:rsidR="00BB70E2" w:rsidRPr="007E2053" w:rsidRDefault="00BB70E2" w:rsidP="00BB70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B70E2" w:rsidRPr="00BB70E2" w:rsidRDefault="00BB70E2" w:rsidP="00BB70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BB70E2">
        <w:rPr>
          <w:rFonts w:eastAsia="SimSun"/>
          <w:color w:val="000000"/>
          <w:szCs w:val="22"/>
          <w:lang w:val="sk-SK" w:eastAsia="sk-SK"/>
        </w:rPr>
        <w:t xml:space="preserve">d) Pediatrická populácia </w:t>
      </w:r>
    </w:p>
    <w:p w:rsidR="00BB70E2" w:rsidRPr="00BB70E2" w:rsidRDefault="00BB70E2" w:rsidP="00BB70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BB70E2" w:rsidRPr="00BB70E2" w:rsidRDefault="00BB70E2" w:rsidP="00BB70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BB70E2">
        <w:rPr>
          <w:rFonts w:eastAsia="SimSun"/>
          <w:color w:val="000000"/>
          <w:szCs w:val="22"/>
          <w:lang w:val="sk-SK" w:eastAsia="sk-SK"/>
        </w:rPr>
        <w:t xml:space="preserve">Bezpečnosť </w:t>
      </w:r>
      <w:r w:rsidRPr="007E2053">
        <w:rPr>
          <w:rFonts w:eastAsia="SimSun"/>
          <w:color w:val="000000"/>
          <w:szCs w:val="22"/>
          <w:lang w:val="sk-SK" w:eastAsia="sk-SK"/>
        </w:rPr>
        <w:t>cinakalcetu</w:t>
      </w:r>
      <w:r w:rsidRPr="00BB70E2">
        <w:rPr>
          <w:rFonts w:eastAsia="SimSun"/>
          <w:color w:val="000000"/>
          <w:szCs w:val="22"/>
          <w:lang w:val="sk-SK" w:eastAsia="sk-SK"/>
        </w:rPr>
        <w:t xml:space="preserve"> </w:t>
      </w:r>
      <w:r w:rsidRPr="007E2053">
        <w:rPr>
          <w:rFonts w:eastAsia="SimSun"/>
          <w:color w:val="000000"/>
          <w:szCs w:val="22"/>
          <w:lang w:val="sk-SK" w:eastAsia="sk-SK"/>
        </w:rPr>
        <w:t>pri liečbe</w:t>
      </w:r>
      <w:r w:rsidRPr="00BB70E2">
        <w:rPr>
          <w:rFonts w:eastAsia="SimSun"/>
          <w:color w:val="000000"/>
          <w:szCs w:val="22"/>
          <w:lang w:val="sk-SK" w:eastAsia="sk-SK"/>
        </w:rPr>
        <w:t xml:space="preserve"> sekundárnej HPT u pediatrických pacientov s ESRD na dialýze sa hodnotila v dvoch randomizovaných kontrolovaných štúdiách a v štúdii s jednou skupinou (pozri časť 5.1). Spomedzi všetkých pediatrických jedincov vystavených cinakalcetu v klinických štúdiách malo spolu 19 pacientov (24,1 %; 64,5 na 100 pacientorokov) najmenej jednu nežiaducu udalosť hypokalciémie. V pediatrickom klinickom skúšaní sa u pacienta so závažnou hypokalciémiou zaznamenal fatálny následok (pozri časť 4.4). </w:t>
      </w:r>
    </w:p>
    <w:p w:rsidR="00BB70E2" w:rsidRPr="007E2053" w:rsidRDefault="00BB70E2" w:rsidP="00BB70E2">
      <w:pPr>
        <w:suppressLineNumbers/>
        <w:autoSpaceDE w:val="0"/>
        <w:autoSpaceDN w:val="0"/>
        <w:adjustRightInd w:val="0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Cinakalcet sa u pediatrických pacientov má použiť iba vtedy, ak potenciálny prínos prevyšuje možné riziko.</w:t>
      </w:r>
    </w:p>
    <w:p w:rsidR="00BB70E2" w:rsidRPr="007E2053" w:rsidRDefault="00BB70E2" w:rsidP="00BB70E2">
      <w:pPr>
        <w:suppressLineNumbers/>
        <w:autoSpaceDE w:val="0"/>
        <w:autoSpaceDN w:val="0"/>
        <w:adjustRightInd w:val="0"/>
        <w:rPr>
          <w:b/>
          <w:noProof/>
          <w:szCs w:val="22"/>
          <w:lang w:val="sk-SK"/>
        </w:rPr>
      </w:pPr>
    </w:p>
    <w:p w:rsidR="00213CE3" w:rsidRPr="007E2053" w:rsidRDefault="00213CE3" w:rsidP="00213CE3">
      <w:pPr>
        <w:suppressLineNumbers/>
        <w:autoSpaceDE w:val="0"/>
        <w:autoSpaceDN w:val="0"/>
        <w:adjustRightInd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Hlásenie podozrení na nežiaduce reakcie</w:t>
      </w:r>
    </w:p>
    <w:p w:rsidR="00213CE3" w:rsidRPr="007E2053" w:rsidRDefault="00213CE3" w:rsidP="00213CE3">
      <w:pPr>
        <w:suppressLineNumbers/>
        <w:autoSpaceDE w:val="0"/>
        <w:autoSpaceDN w:val="0"/>
        <w:adjustRightInd w:val="0"/>
        <w:rPr>
          <w:noProof/>
          <w:szCs w:val="22"/>
          <w:lang w:val="sk-SK"/>
        </w:rPr>
      </w:pPr>
      <w:r w:rsidRPr="007E2053">
        <w:rPr>
          <w:noProof/>
          <w:szCs w:val="22"/>
          <w:lang w:val="sk-SK"/>
        </w:rPr>
        <w:t>Hlásenie podozrení na nežiaduce reakcie po registrácii lieku je dôležité.</w:t>
      </w:r>
      <w:r w:rsidRPr="007E2053">
        <w:rPr>
          <w:szCs w:val="22"/>
          <w:lang w:val="sk-SK"/>
        </w:rPr>
        <w:t xml:space="preserve"> </w:t>
      </w:r>
      <w:r w:rsidR="001E1CA0" w:rsidRPr="007E2053">
        <w:rPr>
          <w:noProof/>
          <w:szCs w:val="22"/>
          <w:lang w:val="sk-SK"/>
        </w:rPr>
        <w:t xml:space="preserve">Umožňuje priebežné </w:t>
      </w:r>
      <w:r w:rsidRPr="007E2053">
        <w:rPr>
          <w:noProof/>
          <w:szCs w:val="22"/>
          <w:lang w:val="sk-SK"/>
        </w:rPr>
        <w:t>monitorovanie pomeru prínosu a rizika lieku.</w:t>
      </w:r>
      <w:r w:rsidRPr="007E2053">
        <w:rPr>
          <w:szCs w:val="22"/>
          <w:lang w:val="sk-SK"/>
        </w:rPr>
        <w:t xml:space="preserve"> Od </w:t>
      </w:r>
      <w:r w:rsidRPr="007E2053">
        <w:rPr>
          <w:noProof/>
          <w:szCs w:val="22"/>
          <w:lang w:val="sk-SK"/>
        </w:rPr>
        <w:t xml:space="preserve">zdravotníckych pracovníkov sa vyžaduje, aby hlásili akékoľvek podozrenia na nežiaduce reakcie </w:t>
      </w:r>
      <w:r w:rsidR="002657B5" w:rsidRPr="007E2053">
        <w:rPr>
          <w:noProof/>
          <w:szCs w:val="22"/>
          <w:lang w:val="sk-SK"/>
        </w:rPr>
        <w:t xml:space="preserve">na </w:t>
      </w:r>
      <w:r w:rsidRPr="007E2053">
        <w:rPr>
          <w:noProof/>
          <w:szCs w:val="22"/>
          <w:highlight w:val="lightGray"/>
          <w:lang w:val="sk-SK"/>
        </w:rPr>
        <w:t>národn</w:t>
      </w:r>
      <w:r w:rsidR="000C0A6E" w:rsidRPr="007E2053">
        <w:rPr>
          <w:noProof/>
          <w:szCs w:val="22"/>
          <w:highlight w:val="lightGray"/>
          <w:lang w:val="sk-SK"/>
        </w:rPr>
        <w:t>é</w:t>
      </w:r>
      <w:r w:rsidRPr="007E2053">
        <w:rPr>
          <w:noProof/>
          <w:szCs w:val="22"/>
          <w:highlight w:val="lightGray"/>
          <w:lang w:val="sk-SK"/>
        </w:rPr>
        <w:t xml:space="preserve"> </w:t>
      </w:r>
      <w:r w:rsidR="000C0A6E" w:rsidRPr="007E2053">
        <w:rPr>
          <w:noProof/>
          <w:szCs w:val="22"/>
          <w:highlight w:val="lightGray"/>
          <w:lang w:val="sk-SK"/>
        </w:rPr>
        <w:t>centrum</w:t>
      </w:r>
      <w:r w:rsidRPr="007E2053">
        <w:rPr>
          <w:noProof/>
          <w:szCs w:val="22"/>
          <w:highlight w:val="lightGray"/>
          <w:lang w:val="sk-SK"/>
        </w:rPr>
        <w:t xml:space="preserve"> hlásenia uveden</w:t>
      </w:r>
      <w:r w:rsidR="000C0A6E" w:rsidRPr="007E2053">
        <w:rPr>
          <w:noProof/>
          <w:szCs w:val="22"/>
          <w:highlight w:val="lightGray"/>
          <w:lang w:val="sk-SK"/>
        </w:rPr>
        <w:t>é</w:t>
      </w:r>
      <w:r w:rsidRPr="007E2053">
        <w:rPr>
          <w:noProof/>
          <w:szCs w:val="22"/>
          <w:highlight w:val="lightGray"/>
          <w:lang w:val="sk-SK"/>
        </w:rPr>
        <w:t xml:space="preserve"> v </w:t>
      </w:r>
      <w:hyperlink r:id="rId8" w:history="1">
        <w:r w:rsidRPr="007E2053">
          <w:rPr>
            <w:rStyle w:val="Hypertextovodkaz"/>
            <w:noProof/>
            <w:szCs w:val="22"/>
            <w:lang w:val="sk-SK"/>
          </w:rPr>
          <w:t>Prí</w:t>
        </w:r>
        <w:r w:rsidRPr="007E2053">
          <w:rPr>
            <w:rStyle w:val="Hypertextovodkaz"/>
            <w:noProof/>
            <w:szCs w:val="22"/>
            <w:lang w:val="sk-SK"/>
          </w:rPr>
          <w:t>l</w:t>
        </w:r>
        <w:r w:rsidRPr="007E2053">
          <w:rPr>
            <w:rStyle w:val="Hypertextovodkaz"/>
            <w:noProof/>
            <w:szCs w:val="22"/>
            <w:lang w:val="sk-SK"/>
          </w:rPr>
          <w:t>ohe V</w:t>
        </w:r>
      </w:hyperlink>
      <w:r w:rsidRPr="007E2053">
        <w:rPr>
          <w:szCs w:val="22"/>
          <w:lang w:val="sk-SK"/>
        </w:rPr>
        <w:t>.</w:t>
      </w:r>
    </w:p>
    <w:p w:rsidR="00A91C0F" w:rsidRPr="007E2053" w:rsidRDefault="00A91C0F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29034C">
      <w:pPr>
        <w:spacing w:line="240" w:lineRule="auto"/>
        <w:ind w:left="567" w:hanging="567"/>
        <w:outlineLvl w:val="0"/>
        <w:rPr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4.9</w:t>
      </w:r>
      <w:r w:rsidRPr="007E2053">
        <w:rPr>
          <w:b/>
          <w:noProof/>
          <w:szCs w:val="22"/>
          <w:lang w:val="sk-SK"/>
        </w:rPr>
        <w:tab/>
      </w:r>
      <w:r w:rsidR="00B10D96" w:rsidRPr="007E2053">
        <w:rPr>
          <w:b/>
          <w:noProof/>
          <w:szCs w:val="22"/>
          <w:lang w:val="sk-SK"/>
        </w:rPr>
        <w:t>Predávkovanie</w:t>
      </w:r>
    </w:p>
    <w:p w:rsidR="001F4901" w:rsidRPr="007E2053" w:rsidRDefault="001F4901" w:rsidP="0029034C">
      <w:pPr>
        <w:spacing w:line="240" w:lineRule="auto"/>
        <w:rPr>
          <w:szCs w:val="22"/>
          <w:lang w:val="sk-SK"/>
        </w:rPr>
      </w:pPr>
    </w:p>
    <w:p w:rsidR="0071355E" w:rsidRPr="0071355E" w:rsidRDefault="0071355E" w:rsidP="0071355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1355E">
        <w:rPr>
          <w:rFonts w:eastAsia="SimSun"/>
          <w:color w:val="000000"/>
          <w:szCs w:val="22"/>
          <w:lang w:val="sk-SK" w:eastAsia="sk-SK"/>
        </w:rPr>
        <w:t>Dávky titrované až do 300 mg raz denne boli dospelým pacientom na dialýze podané bez nežiaduceho následku. V klinickej štúdii bola pediatrickému pacientovi na dia</w:t>
      </w:r>
      <w:r w:rsidRPr="007E2053">
        <w:rPr>
          <w:rFonts w:eastAsia="SimSun"/>
          <w:color w:val="000000"/>
          <w:szCs w:val="22"/>
          <w:lang w:val="sk-SK" w:eastAsia="sk-SK"/>
        </w:rPr>
        <w:t>lýze predpísaná denná dávka 3,9 </w:t>
      </w:r>
      <w:r w:rsidRPr="0071355E">
        <w:rPr>
          <w:rFonts w:eastAsia="SimSun"/>
          <w:color w:val="000000"/>
          <w:szCs w:val="22"/>
          <w:lang w:val="sk-SK" w:eastAsia="sk-SK"/>
        </w:rPr>
        <w:t xml:space="preserve">mg/kg s následnou miernou bolesťou brucha, nauzeou a vracaním. </w:t>
      </w:r>
    </w:p>
    <w:p w:rsidR="0071355E" w:rsidRPr="007E2053" w:rsidRDefault="0071355E" w:rsidP="0071355E">
      <w:pPr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804168" w:rsidRPr="007E2053" w:rsidRDefault="0071355E" w:rsidP="0071355E">
      <w:pPr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Predávkovanie CINAMEDOM môže viesť k hypokalciémii. V prípade predávkovania majú byť pacienti monitorovaní na prejavy a príznaky hypokalciémie a liečba má byť symptomatická a podporná. Keďže sa cinakalcet vysoko viaže na proteíny, hemodialýza nie je pri liečbe predávkovania účinná.</w:t>
      </w:r>
    </w:p>
    <w:p w:rsidR="0071355E" w:rsidRPr="007E2053" w:rsidRDefault="0071355E" w:rsidP="0071355E">
      <w:pPr>
        <w:spacing w:line="240" w:lineRule="auto"/>
        <w:rPr>
          <w:szCs w:val="22"/>
          <w:lang w:val="sk-SK"/>
        </w:rPr>
      </w:pPr>
    </w:p>
    <w:p w:rsidR="00804168" w:rsidRPr="007E2053" w:rsidRDefault="00804168" w:rsidP="0029034C">
      <w:pPr>
        <w:spacing w:line="240" w:lineRule="auto"/>
        <w:rPr>
          <w:szCs w:val="22"/>
          <w:lang w:val="sk-SK"/>
        </w:rPr>
      </w:pPr>
    </w:p>
    <w:p w:rsidR="001F4901" w:rsidRPr="007E2053" w:rsidRDefault="001F4901" w:rsidP="00C525D0">
      <w:pPr>
        <w:pStyle w:val="Nadpis1"/>
        <w:rPr>
          <w:lang w:val="sk-SK"/>
        </w:rPr>
      </w:pPr>
      <w:r w:rsidRPr="007E2053">
        <w:rPr>
          <w:lang w:val="sk-SK"/>
        </w:rPr>
        <w:t>5.</w:t>
      </w:r>
      <w:r w:rsidRPr="007E2053">
        <w:rPr>
          <w:lang w:val="sk-SK"/>
        </w:rPr>
        <w:tab/>
      </w:r>
      <w:r w:rsidR="00DD163E" w:rsidRPr="007E2053">
        <w:rPr>
          <w:lang w:val="sk-SK"/>
        </w:rPr>
        <w:t>FARMAKOLOGICKÉ VLASTNOSTI</w:t>
      </w:r>
    </w:p>
    <w:p w:rsidR="001F4901" w:rsidRPr="007E2053" w:rsidRDefault="001F4901" w:rsidP="0029034C">
      <w:pPr>
        <w:spacing w:line="240" w:lineRule="auto"/>
        <w:rPr>
          <w:szCs w:val="22"/>
          <w:lang w:val="sk-SK"/>
        </w:rPr>
      </w:pPr>
    </w:p>
    <w:p w:rsidR="001F4901" w:rsidRPr="007E2053" w:rsidRDefault="00990766" w:rsidP="0029034C">
      <w:pPr>
        <w:spacing w:line="240" w:lineRule="auto"/>
        <w:ind w:left="567" w:hanging="567"/>
        <w:outlineLvl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5.1</w:t>
      </w:r>
      <w:r w:rsidR="001F4901" w:rsidRPr="007E2053">
        <w:rPr>
          <w:b/>
          <w:noProof/>
          <w:szCs w:val="22"/>
          <w:lang w:val="sk-SK"/>
        </w:rPr>
        <w:tab/>
      </w:r>
      <w:r w:rsidR="00DD163E" w:rsidRPr="007E2053">
        <w:rPr>
          <w:b/>
          <w:noProof/>
          <w:szCs w:val="22"/>
          <w:lang w:val="sk-SK"/>
        </w:rPr>
        <w:t>Farmakodynamické vlastnosti</w:t>
      </w:r>
    </w:p>
    <w:p w:rsidR="001F4901" w:rsidRPr="007E2053" w:rsidRDefault="001F4901" w:rsidP="0029034C">
      <w:pPr>
        <w:spacing w:line="240" w:lineRule="auto"/>
        <w:rPr>
          <w:szCs w:val="22"/>
          <w:lang w:val="sk-SK"/>
        </w:rPr>
      </w:pPr>
    </w:p>
    <w:p w:rsidR="00893353" w:rsidRPr="007E20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893353">
        <w:rPr>
          <w:rFonts w:eastAsia="SimSun"/>
          <w:color w:val="000000"/>
          <w:szCs w:val="22"/>
          <w:lang w:val="sk-SK" w:eastAsia="sk-SK"/>
        </w:rPr>
        <w:t xml:space="preserve">Farmakoterapeutická skupina: </w:t>
      </w:r>
      <w:r w:rsidR="00C17E8E">
        <w:rPr>
          <w:rFonts w:eastAsia="SimSun"/>
          <w:color w:val="000000"/>
          <w:szCs w:val="22"/>
          <w:lang w:val="sk-SK" w:eastAsia="sk-SK"/>
        </w:rPr>
        <w:t>homeostatiká vápnika</w:t>
      </w:r>
      <w:r w:rsidRPr="00893353">
        <w:rPr>
          <w:rFonts w:eastAsia="SimSun"/>
          <w:color w:val="000000"/>
          <w:szCs w:val="22"/>
          <w:lang w:val="sk-SK" w:eastAsia="sk-SK"/>
        </w:rPr>
        <w:t>, iné antiparatyreoidn</w:t>
      </w:r>
      <w:r w:rsidR="00C17E8E">
        <w:rPr>
          <w:rFonts w:eastAsia="SimSun"/>
          <w:color w:val="000000"/>
          <w:szCs w:val="22"/>
          <w:lang w:val="sk-SK" w:eastAsia="sk-SK"/>
        </w:rPr>
        <w:t>é</w:t>
      </w:r>
      <w:r w:rsidRPr="00893353">
        <w:rPr>
          <w:rFonts w:eastAsia="SimSun"/>
          <w:color w:val="000000"/>
          <w:szCs w:val="22"/>
          <w:lang w:val="sk-SK" w:eastAsia="sk-SK"/>
        </w:rPr>
        <w:t xml:space="preserve"> liečivá. ATC kód: H05BX01. </w:t>
      </w:r>
    </w:p>
    <w:p w:rsidR="00893353" w:rsidRPr="008933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893353" w:rsidRPr="007E20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893353">
        <w:rPr>
          <w:rFonts w:eastAsia="SimSun"/>
          <w:color w:val="000000"/>
          <w:szCs w:val="22"/>
          <w:u w:val="single"/>
          <w:lang w:val="sk-SK" w:eastAsia="sk-SK"/>
        </w:rPr>
        <w:t xml:space="preserve">Mechanizmus účinku </w:t>
      </w:r>
    </w:p>
    <w:p w:rsidR="00893353" w:rsidRPr="008933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893353">
        <w:rPr>
          <w:rFonts w:eastAsia="SimSun"/>
          <w:color w:val="000000"/>
          <w:szCs w:val="22"/>
          <w:lang w:val="sk-SK" w:eastAsia="sk-SK"/>
        </w:rPr>
        <w:t xml:space="preserve">Receptor citlivý na vápnik na povrchu hlavnej bunky prištítnej žľazy je hlavným regulátorom sekrécie PTH. Cinakalcet je kalcimimetická látka, ktorá priamo znižuje hladiny PTH zvýšením citlivosti </w:t>
      </w:r>
      <w:r w:rsidR="00A10F94" w:rsidRPr="00893353">
        <w:rPr>
          <w:rFonts w:eastAsia="SimSun"/>
          <w:color w:val="000000"/>
          <w:szCs w:val="22"/>
          <w:lang w:val="sk-SK" w:eastAsia="sk-SK"/>
        </w:rPr>
        <w:t>receptor</w:t>
      </w:r>
      <w:r w:rsidR="00A10F94">
        <w:rPr>
          <w:rFonts w:eastAsia="SimSun"/>
          <w:color w:val="000000"/>
          <w:szCs w:val="22"/>
          <w:lang w:val="sk-SK" w:eastAsia="sk-SK"/>
        </w:rPr>
        <w:t>a</w:t>
      </w:r>
      <w:r w:rsidR="00A10F94" w:rsidRPr="00893353">
        <w:rPr>
          <w:rFonts w:eastAsia="SimSun"/>
          <w:color w:val="000000"/>
          <w:szCs w:val="22"/>
          <w:lang w:val="sk-SK" w:eastAsia="sk-SK"/>
        </w:rPr>
        <w:t xml:space="preserve"> </w:t>
      </w:r>
      <w:r w:rsidRPr="00893353">
        <w:rPr>
          <w:rFonts w:eastAsia="SimSun"/>
          <w:color w:val="000000"/>
          <w:szCs w:val="22"/>
          <w:lang w:val="sk-SK" w:eastAsia="sk-SK"/>
        </w:rPr>
        <w:t xml:space="preserve">citlivého na vápnik na extracelulárny vápnik. Zníženie hladiny PTH je spojené so súčasným znížením sérových hladín vápnika. </w:t>
      </w:r>
    </w:p>
    <w:p w:rsidR="00893353" w:rsidRPr="007E20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893353" w:rsidRPr="008933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893353">
        <w:rPr>
          <w:rFonts w:eastAsia="SimSun"/>
          <w:color w:val="000000"/>
          <w:szCs w:val="22"/>
          <w:lang w:val="sk-SK" w:eastAsia="sk-SK"/>
        </w:rPr>
        <w:t xml:space="preserve">Zníženie hladín PTH koreluje s koncentráciou cinakalcetu. </w:t>
      </w:r>
    </w:p>
    <w:p w:rsidR="00893353" w:rsidRPr="007E2053" w:rsidRDefault="00893353" w:rsidP="00893353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</w:p>
    <w:p w:rsidR="005A500D" w:rsidRPr="007E2053" w:rsidRDefault="00893353" w:rsidP="00893353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Po dosiahnutí rovnovážneho stavu zostávajú sérové koncentrácie vápnika počas dávkovacieho intervalu konštantné.</w:t>
      </w:r>
    </w:p>
    <w:p w:rsidR="00660E07" w:rsidRPr="007E2053" w:rsidRDefault="00660E07" w:rsidP="00893353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sk-SK"/>
        </w:rPr>
      </w:pPr>
    </w:p>
    <w:p w:rsidR="00893353" w:rsidRPr="00405F61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  <w:r w:rsidRPr="00286A64">
        <w:rPr>
          <w:rFonts w:eastAsia="SimSun"/>
          <w:i/>
          <w:color w:val="000000"/>
          <w:szCs w:val="22"/>
          <w:u w:val="single"/>
          <w:lang w:val="sk-SK" w:eastAsia="sk-SK"/>
        </w:rPr>
        <w:t xml:space="preserve">Sekundárna hyperparatyreóza </w:t>
      </w:r>
    </w:p>
    <w:p w:rsidR="00893353" w:rsidRPr="008933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893353">
        <w:rPr>
          <w:rFonts w:eastAsia="SimSun"/>
          <w:i/>
          <w:iCs/>
          <w:color w:val="000000"/>
          <w:szCs w:val="22"/>
          <w:lang w:val="sk-SK" w:eastAsia="sk-SK"/>
        </w:rPr>
        <w:t xml:space="preserve">Dospelí </w:t>
      </w:r>
    </w:p>
    <w:p w:rsidR="00893353" w:rsidRPr="008933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893353">
        <w:rPr>
          <w:rFonts w:eastAsia="SimSun"/>
          <w:color w:val="000000"/>
          <w:szCs w:val="22"/>
          <w:lang w:val="sk-SK" w:eastAsia="sk-SK"/>
        </w:rPr>
        <w:t>Troch 6-mesačných, dvojito zaslepených, placebom kontrolovaných klinických štúdií sa zúčastnili pacienti s ESRD s nekontrolovanou sekundárnou HPT na dial</w:t>
      </w:r>
      <w:r w:rsidR="00E35895" w:rsidRPr="007E2053">
        <w:rPr>
          <w:rFonts w:eastAsia="SimSun"/>
          <w:color w:val="000000"/>
          <w:szCs w:val="22"/>
          <w:lang w:val="sk-SK" w:eastAsia="sk-SK"/>
        </w:rPr>
        <w:t>ýze (n = 1 136). Demografické a </w:t>
      </w:r>
      <w:r w:rsidRPr="00893353">
        <w:rPr>
          <w:rFonts w:eastAsia="SimSun"/>
          <w:color w:val="000000"/>
          <w:szCs w:val="22"/>
          <w:lang w:val="sk-SK" w:eastAsia="sk-SK"/>
        </w:rPr>
        <w:t xml:space="preserve">východiskové charakteristiky zodpovedali populácii dialyzovaných pacientov so sekundárnou HPT. </w:t>
      </w:r>
      <w:r w:rsidRPr="00893353">
        <w:rPr>
          <w:rFonts w:eastAsia="SimSun"/>
          <w:color w:val="000000"/>
          <w:szCs w:val="22"/>
          <w:lang w:val="sk-SK" w:eastAsia="sk-SK"/>
        </w:rPr>
        <w:lastRenderedPageBreak/>
        <w:t xml:space="preserve">Priemerné východiskové koncentrácie iPTH v 3 štúdiách boli 733 pg/ml (77,8 pmol/l) pre skupinu liečenú cinakalcetom a 683 pg/ml (72,4 pmol/l) pre placebo. 66 % pacientov dostávalo steroly vitamínu D na začiatku štúdie a viac ako 90 % užívalo viazače fosfátu. Významné zníženie hladiny iPTH, súčinu sérových koncentrácií vápnika a fosforu (Ca x P) a hladín vápnika a fosforu sa pozorovalo v skupine pacientov liečených cinakalcetom v porovnaní s placebo skupinou pri dodržaní štandardnej starostlivosti, výsledky boli zhodné vo všetkých troch štúdiách. V jednotlivých štúdiách sa primárny cieľový ukazovateľ (podiel pacientov s iPTH ≤ 250 pg/ml (≤ 26,5 pmol/l) dosiahol u 41 %, 46 % a 35 % pacientov užívajúcich cinakalcet v porovnaní so 4 %, 7 % a 6 % pacientov, ktorí dostávali placebo. U približne 60 % pacientov liečených cinakalcetom sa dosiahla ≥ 30 % redukcia hladín iPTH a tento účinok bol zhodný v celom spektre východiskových hladín iPTH. Priemerný pokles sérového Ca x P, vápnika a fosforu bol 14 %, 7 % a 8 %. </w:t>
      </w:r>
    </w:p>
    <w:p w:rsidR="00893353" w:rsidRPr="007E20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893353" w:rsidRPr="008933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893353">
        <w:rPr>
          <w:rFonts w:eastAsia="SimSun"/>
          <w:color w:val="000000"/>
          <w:szCs w:val="22"/>
          <w:lang w:val="sk-SK" w:eastAsia="sk-SK"/>
        </w:rPr>
        <w:t xml:space="preserve">Redukcia iPTH a Ca x P sa udržiavala počas 12 mesiacov liečby. Cinakalcet znižoval iPTH, Ca x P, hladiny vápnika a fosforu nezávisle od východiskových hodnôt iPTH alebo Ca x P, dialyzačnej modality (PD oproti HD), dĺžky dialýzy a bez ohľadu na to, či sa podávali, alebo nepodávali steroly vitamínu D. </w:t>
      </w:r>
    </w:p>
    <w:p w:rsidR="00893353" w:rsidRPr="007E2053" w:rsidRDefault="00893353" w:rsidP="00893353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</w:p>
    <w:p w:rsidR="00893353" w:rsidRPr="007E2053" w:rsidRDefault="00893353" w:rsidP="00893353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Redukcia PTH sa spájala s nevýznamným znížením markerov kostného metabolizmu (kostná špecifická alkalická fosfatáza, N-telopeptid, kostný obrat a fibróza kostí). Podľa dodatočného vyhodnotenia sumárnych údajov z klinických štúdií trvajúcich 6 a 12 mesiacov sa podľa Kaplanovho-Meierovho stanovenia vyskytli fraktúry kostí a paratyreoidektómia v menšom počte v skupine pacientov s cinakalcetom v porovnaní s kontrolnou skupinou.</w:t>
      </w:r>
    </w:p>
    <w:p w:rsidR="00893353" w:rsidRPr="007E2053" w:rsidRDefault="00893353" w:rsidP="00893353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</w:p>
    <w:p w:rsidR="00893353" w:rsidRPr="00893353" w:rsidRDefault="00893353" w:rsidP="0089335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893353">
        <w:rPr>
          <w:rFonts w:eastAsia="SimSun"/>
          <w:color w:val="000000"/>
          <w:szCs w:val="22"/>
          <w:lang w:val="sk-SK" w:eastAsia="sk-SK"/>
        </w:rPr>
        <w:t>Štúdie u nedialyzovaných pacientov s CKD a sekundárnou HPT naznačujú, že cinakalcet znížil hladinu PTH v ich prípade do podobnej miery ako u dial</w:t>
      </w:r>
      <w:r w:rsidR="00E35895" w:rsidRPr="007E2053">
        <w:rPr>
          <w:rFonts w:eastAsia="SimSun"/>
          <w:color w:val="000000"/>
          <w:szCs w:val="22"/>
          <w:lang w:val="sk-SK" w:eastAsia="sk-SK"/>
        </w:rPr>
        <w:t>yzovaných pacientov s ESRD a so </w:t>
      </w:r>
      <w:r w:rsidRPr="00893353">
        <w:rPr>
          <w:rFonts w:eastAsia="SimSun"/>
          <w:color w:val="000000"/>
          <w:szCs w:val="22"/>
          <w:lang w:val="sk-SK" w:eastAsia="sk-SK"/>
        </w:rPr>
        <w:t>sekundárnou HPT. Avšak účinnosť, bezpečnosť, optimáln</w:t>
      </w:r>
      <w:r w:rsidR="00E35895" w:rsidRPr="007E2053">
        <w:rPr>
          <w:rFonts w:eastAsia="SimSun"/>
          <w:color w:val="000000"/>
          <w:szCs w:val="22"/>
          <w:lang w:val="sk-SK" w:eastAsia="sk-SK"/>
        </w:rPr>
        <w:t>e dávkovanie a liečebné ciele u </w:t>
      </w:r>
      <w:r w:rsidRPr="00893353">
        <w:rPr>
          <w:rFonts w:eastAsia="SimSun"/>
          <w:color w:val="000000"/>
          <w:szCs w:val="22"/>
          <w:lang w:val="sk-SK" w:eastAsia="sk-SK"/>
        </w:rPr>
        <w:t xml:space="preserve">pacientov s obličkovým zlyhávaním pred dialýzou neboli stanovené. Tieto štúdie ukazujú, že pacienti s CKD liečení cinakalcetom, ktorí nie sú dialyzovaní, sú vystavení zvýšenému riziku vzniku hypokalciémie v porovnaní s dialyzovanými pacientmi s ESRD liečenými cinakalcetom, čo môže byť spôsobené nižšími východiskovými hladinami vápnika a/alebo prítomnosťou reziduálnej renálnej funkcie. </w:t>
      </w:r>
    </w:p>
    <w:p w:rsidR="00893353" w:rsidRPr="007E2053" w:rsidRDefault="00893353" w:rsidP="00893353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</w:p>
    <w:p w:rsidR="00893353" w:rsidRPr="007E2053" w:rsidRDefault="00893353" w:rsidP="00893353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EVOLVE (EValuation Of Cinacalcet Therapy to Lower CardioVascular Events) bola randomizovaná, dvojito zaslepená klinická štúdia hodnotiaca cinakalcet oproti placebu na zníženie rizika celkovej mortality a kardiovaskulárnych udalostí u 3 883 pacientov so sekundárnou HPT a CKD na dialýze. Štúdia nesplnila primárny cieľ: zníženie rizika celkovej mortality alebo kardiovaskulárnych udalostí vrátane infarktu myokardu, hospitalizácie pre nestabilnú angínu pektoris, srdcového zlyhania alebo periférnej vaskulárnej udalosti (HR 0,93; 95 % IS: 0,85; 1,02; p = 0</w:t>
      </w:r>
      <w:r w:rsidR="00E35895" w:rsidRPr="007E2053">
        <w:rPr>
          <w:rFonts w:eastAsia="SimSun"/>
          <w:color w:val="000000"/>
          <w:szCs w:val="22"/>
          <w:lang w:val="sk-SK" w:eastAsia="sk-SK"/>
        </w:rPr>
        <w:t>,112). V sekundárnej analýze po </w:t>
      </w:r>
      <w:r w:rsidRPr="007E2053">
        <w:rPr>
          <w:rFonts w:eastAsia="SimSun"/>
          <w:color w:val="000000"/>
          <w:szCs w:val="22"/>
          <w:lang w:val="sk-SK" w:eastAsia="sk-SK"/>
        </w:rPr>
        <w:t>úprave vzhľadom na východiskové charakteristiky bol HR pre primárny kombinovaný koncový ukazovateľ 0,88; 95 % IS: 0,79; 0,97.</w:t>
      </w:r>
    </w:p>
    <w:p w:rsidR="00893353" w:rsidRPr="007E2053" w:rsidRDefault="00893353" w:rsidP="00893353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sk-SK"/>
        </w:rPr>
      </w:pPr>
    </w:p>
    <w:p w:rsidR="00E35895" w:rsidRPr="00E35895" w:rsidRDefault="00E35895" w:rsidP="00E358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35895">
        <w:rPr>
          <w:rFonts w:eastAsia="SimSun"/>
          <w:i/>
          <w:iCs/>
          <w:color w:val="000000"/>
          <w:szCs w:val="22"/>
          <w:lang w:val="sk-SK" w:eastAsia="sk-SK"/>
        </w:rPr>
        <w:t xml:space="preserve">Pediatrická populácia </w:t>
      </w:r>
    </w:p>
    <w:p w:rsidR="00E35895" w:rsidRPr="00E35895" w:rsidRDefault="00E35895" w:rsidP="00E358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35895">
        <w:rPr>
          <w:rFonts w:eastAsia="SimSun"/>
          <w:color w:val="000000"/>
          <w:szCs w:val="22"/>
          <w:lang w:val="sk-SK" w:eastAsia="sk-SK"/>
        </w:rPr>
        <w:t>Účinnosť a bezpečnosť cinakalcetu na liečbu sekundárnej HPT u pe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diatrických pacientov s ESRD na </w:t>
      </w:r>
      <w:r w:rsidRPr="00E35895">
        <w:rPr>
          <w:rFonts w:eastAsia="SimSun"/>
          <w:color w:val="000000"/>
          <w:szCs w:val="22"/>
          <w:lang w:val="sk-SK" w:eastAsia="sk-SK"/>
        </w:rPr>
        <w:t xml:space="preserve">dialýze sa hodnotila v dvoch randomizovaných kontrolovaných štúdiách a v štúdii s jednou skupinou. </w:t>
      </w: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Štúdia 1 bola dvojito zaslepená, placebom kontrolovaná štúdia, v ktorej 43 pacientov vo veku 6 až</w:t>
      </w:r>
      <w:r w:rsidR="0006475F" w:rsidRPr="007E2053">
        <w:rPr>
          <w:rFonts w:eastAsia="SimSun"/>
          <w:color w:val="000000"/>
          <w:szCs w:val="22"/>
          <w:lang w:val="sk-SK" w:eastAsia="sk-SK"/>
        </w:rPr>
        <w:t xml:space="preserve"> &lt; 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18 rokov bolo randomizovaných na užívanie buď cinakalcetu (n = 22) alebo placeba (n = 21). Štúdia sa skladala z 24-týždňového obdobia titrácie dávky, za ktorým nasledovala 6-týždňová fáza hodnotenia účinnosti (efficacy assessment phase, EAP) a 30-týždňové otvorené predĺženie štúdie. </w:t>
      </w:r>
    </w:p>
    <w:p w:rsidR="00E35895" w:rsidRPr="00E35895" w:rsidRDefault="00E35895" w:rsidP="0006475F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Priemerný vek na začiatku bol 13 (rozpätie 6 až 18) rokov. Väčšina pacientov (91%) už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ívala na </w:t>
      </w:r>
      <w:r w:rsidRPr="007E2053">
        <w:rPr>
          <w:rFonts w:eastAsia="SimSun"/>
          <w:color w:val="000000"/>
          <w:szCs w:val="22"/>
          <w:lang w:val="sk-SK" w:eastAsia="sk-SK"/>
        </w:rPr>
        <w:t>začiatku steroly vitamínu D. Priemerné (SD) koncentrácie iPTH na zač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iatku boli 757,1 (440,1) </w:t>
      </w:r>
      <w:r w:rsidRPr="007E2053">
        <w:rPr>
          <w:rFonts w:eastAsia="SimSun"/>
          <w:color w:val="000000"/>
          <w:szCs w:val="22"/>
          <w:lang w:val="sk-SK" w:eastAsia="sk-SK"/>
        </w:rPr>
        <w:t>pg/ml v skupine s cinakalcetom a 795,8 (537,9) pg/ml v skupine s placebom. Priemerné (SD) korigované</w:t>
      </w:r>
      <w:r w:rsidR="0006475F" w:rsidRPr="007E2053">
        <w:rPr>
          <w:rFonts w:eastAsia="SimSun"/>
          <w:color w:val="000000"/>
          <w:szCs w:val="22"/>
          <w:lang w:val="sk-SK" w:eastAsia="sk-SK"/>
        </w:rPr>
        <w:t xml:space="preserve"> </w:t>
      </w:r>
      <w:r w:rsidRPr="00E35895">
        <w:rPr>
          <w:rFonts w:eastAsia="SimSun"/>
          <w:color w:val="000000"/>
          <w:szCs w:val="22"/>
          <w:lang w:val="sk-SK" w:eastAsia="sk-SK"/>
        </w:rPr>
        <w:t xml:space="preserve">koncentrácie celkového sérového vápnika na začiatku boli 9,9 (0,5) mg/dl v skupine s cinakalcetom a 9,9 (0,6) mg/dl v skupine s placebom. Priemerná maximálna denná dávka cinakalcetu bola 1,0 mg/kg/deň. </w:t>
      </w:r>
    </w:p>
    <w:p w:rsidR="00E35895" w:rsidRPr="007E2053" w:rsidRDefault="00E35895" w:rsidP="00E358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E35895" w:rsidRPr="00E35895" w:rsidRDefault="00E35895" w:rsidP="00E358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35895">
        <w:rPr>
          <w:rFonts w:eastAsia="SimSun"/>
          <w:color w:val="000000"/>
          <w:szCs w:val="22"/>
          <w:lang w:val="sk-SK" w:eastAsia="sk-SK"/>
        </w:rPr>
        <w:lastRenderedPageBreak/>
        <w:t>Percento pacientov, ktorí dosiahli primárny koncový ukazovateľ (≥ 30 % zníženie priemerných plazmatických koncentrácií iPTH počas EAP oproti východiskovej hodnote; v 25. až 30. týždni), bolo 55 % v skupine s cinakalcetom a 19,0 % v skupine s placebom (p = 0,02). Priemerné sérové hladiny vápnika počas EAP boli v liečebnej skupine s cinakalcetom v normálnom rozmedzí. Táto štúdia bola predčasne ukončená v dôsledku úmrtia súvisiaceho so záva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žnou hypokalciémiou v skupine s </w:t>
      </w:r>
      <w:r w:rsidRPr="00E35895">
        <w:rPr>
          <w:rFonts w:eastAsia="SimSun"/>
          <w:color w:val="000000"/>
          <w:szCs w:val="22"/>
          <w:lang w:val="sk-SK" w:eastAsia="sk-SK"/>
        </w:rPr>
        <w:t xml:space="preserve">cinakalcetom (pozri časť 4.8). </w:t>
      </w: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Štúdia 2 bola otvorená štúdia, v ktorej bolo 55 pacientov vo veku 6 až &lt; 18 rokov (priemer 13 rokov) randomizovaných na užívanie buď cinakalcetu pridaného k štandardnej liečbe (Š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L, n = 27) alebo na </w:t>
      </w:r>
      <w:r w:rsidRPr="007E2053">
        <w:rPr>
          <w:rFonts w:eastAsia="SimSun"/>
          <w:color w:val="000000"/>
          <w:szCs w:val="22"/>
          <w:lang w:val="sk-SK" w:eastAsia="sk-SK"/>
        </w:rPr>
        <w:t>ŠL samotnú (n = 28). Väčšina pacientov (75 %) užívala na začiatku steroly vitamínu D. Priemerné (SD) koncentrácie iPTH na začiatku boli 946 (635) pg/ml v skupine s cinakalcetom + Š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L a 1 228 (732) </w:t>
      </w:r>
      <w:r w:rsidRPr="007E2053">
        <w:rPr>
          <w:rFonts w:eastAsia="SimSun"/>
          <w:color w:val="000000"/>
          <w:szCs w:val="22"/>
          <w:lang w:val="sk-SK" w:eastAsia="sk-SK"/>
        </w:rPr>
        <w:t>pg/ml v skupine so ŠL. Priemerné (SD) korigované koncentrácie celkového sérového vápnika na začiatku boli 9,8 (0,6) mg/dl v skupine s cinakalcetom + ŠL</w:t>
      </w:r>
      <w:r w:rsidR="0006475F" w:rsidRPr="007E2053">
        <w:rPr>
          <w:rFonts w:eastAsia="SimSun"/>
          <w:color w:val="000000"/>
          <w:szCs w:val="22"/>
          <w:lang w:val="sk-SK" w:eastAsia="sk-SK"/>
        </w:rPr>
        <w:t xml:space="preserve"> a 9,8 (0,6) mg/dl v skupine so </w:t>
      </w:r>
      <w:r w:rsidRPr="007E2053">
        <w:rPr>
          <w:rFonts w:eastAsia="SimSun"/>
          <w:color w:val="000000"/>
          <w:szCs w:val="22"/>
          <w:lang w:val="sk-SK" w:eastAsia="sk-SK"/>
        </w:rPr>
        <w:t>ŠL. 25 pacientov dostalo najmenej jednu dávku cinakalcetu a priemerná maximálna denná dávka cinakalcetu bola 0,55 mg/kg/deň. Štúdia nesplnila svoj primárny koncový ukazovateľ (≥ 30% zníženie priemerných plazmatických koncentrácií iPTH počas EAP oproti východiskovej hodnote; v 17. až 20. týždni). Zníženie priemerných plazmatických koncentrácií iPTH ≥ 30 % počas EAP oproti východiskovej hodnote dosiahlo 22 % pacientov v skupine s cinakalcetom + Š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L a 32 % pacientov v </w:t>
      </w:r>
      <w:r w:rsidRPr="007E2053">
        <w:rPr>
          <w:rFonts w:eastAsia="SimSun"/>
          <w:color w:val="000000"/>
          <w:szCs w:val="22"/>
          <w:lang w:val="sk-SK" w:eastAsia="sk-SK"/>
        </w:rPr>
        <w:t>skupine so ŠL.</w:t>
      </w: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</w:p>
    <w:p w:rsidR="00E35895" w:rsidRPr="00E35895" w:rsidRDefault="00E35895" w:rsidP="00E358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35895">
        <w:rPr>
          <w:rFonts w:eastAsia="SimSun"/>
          <w:color w:val="000000"/>
          <w:szCs w:val="22"/>
          <w:lang w:val="sk-SK" w:eastAsia="sk-SK"/>
        </w:rPr>
        <w:t>Štúdia 3 bola 26-týždňová otvorená štúdia s jednou skupinou, zameran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á na bezpečnosť, s pacientmi vo </w:t>
      </w:r>
      <w:r w:rsidRPr="00E35895">
        <w:rPr>
          <w:rFonts w:eastAsia="SimSun"/>
          <w:color w:val="000000"/>
          <w:szCs w:val="22"/>
          <w:lang w:val="sk-SK" w:eastAsia="sk-SK"/>
        </w:rPr>
        <w:t>veku 8 mesiacov až &lt; 6 rokov (priemerný vek 3 roky). Pacienti užívajúci súbežne lieky, o ktorých je známe, že predlžujú korigovaný QT interval, boli zo štúdie vylúčení. Priemerná suchá telesná hmotnosť na začiatku bola 12 kg. Úvodná dávka cinakalcetu bola 0,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20 mg/kg. Väčšina pacientov (89 </w:t>
      </w:r>
      <w:r w:rsidRPr="00E35895">
        <w:rPr>
          <w:rFonts w:eastAsia="SimSun"/>
          <w:color w:val="000000"/>
          <w:szCs w:val="22"/>
          <w:lang w:val="sk-SK" w:eastAsia="sk-SK"/>
        </w:rPr>
        <w:t xml:space="preserve">%) užívala na začiatku steroly vitamínu D. </w:t>
      </w:r>
    </w:p>
    <w:p w:rsidR="00E35895" w:rsidRPr="007E2053" w:rsidRDefault="00E35895" w:rsidP="00E358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E35895" w:rsidRPr="00E35895" w:rsidRDefault="00E35895" w:rsidP="00E358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35895">
        <w:rPr>
          <w:rFonts w:eastAsia="SimSun"/>
          <w:color w:val="000000"/>
          <w:szCs w:val="22"/>
          <w:lang w:val="sk-SK" w:eastAsia="sk-SK"/>
        </w:rPr>
        <w:t>Sedemnásť pacientov užilo najmenej jednu dávku cinakalcetu a 11 dokončilo najmenej 12 týždňov liečby. Ani jeden pacient vo veku 2 – 5 rokov nemal korigovaný</w:t>
      </w:r>
      <w:r w:rsidR="0006475F" w:rsidRPr="007E2053">
        <w:rPr>
          <w:rFonts w:eastAsia="SimSun"/>
          <w:color w:val="000000"/>
          <w:szCs w:val="22"/>
          <w:lang w:val="sk-SK" w:eastAsia="sk-SK"/>
        </w:rPr>
        <w:t xml:space="preserve"> sérový vápnik &lt; 8,4 mg/dl (2,1 </w:t>
      </w:r>
      <w:r w:rsidRPr="00E35895">
        <w:rPr>
          <w:rFonts w:eastAsia="SimSun"/>
          <w:color w:val="000000"/>
          <w:szCs w:val="22"/>
          <w:lang w:val="sk-SK" w:eastAsia="sk-SK"/>
        </w:rPr>
        <w:t>mmol/l). Koncentrácie iPTH boli znížené o ≥ 30 % oproti východiskovej hodnote u 71 % (1</w:t>
      </w:r>
      <w:r w:rsidR="0006475F" w:rsidRPr="007E2053">
        <w:rPr>
          <w:rFonts w:eastAsia="SimSun"/>
          <w:color w:val="000000"/>
          <w:szCs w:val="22"/>
          <w:lang w:val="sk-SK" w:eastAsia="sk-SK"/>
        </w:rPr>
        <w:t>2 zo </w:t>
      </w:r>
      <w:r w:rsidRPr="00E35895">
        <w:rPr>
          <w:rFonts w:eastAsia="SimSun"/>
          <w:color w:val="000000"/>
          <w:szCs w:val="22"/>
          <w:lang w:val="sk-SK" w:eastAsia="sk-SK"/>
        </w:rPr>
        <w:t xml:space="preserve">17) pacientov v štúdii. </w:t>
      </w:r>
    </w:p>
    <w:p w:rsidR="00E35895" w:rsidRPr="007E2053" w:rsidRDefault="00E35895" w:rsidP="00E358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E35895" w:rsidRPr="00286A64" w:rsidRDefault="00E35895" w:rsidP="00E358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color w:val="000000"/>
          <w:szCs w:val="22"/>
          <w:u w:val="single"/>
          <w:lang w:val="sk-SK" w:eastAsia="sk-SK"/>
        </w:rPr>
      </w:pPr>
      <w:r w:rsidRPr="00286A64">
        <w:rPr>
          <w:rFonts w:eastAsia="SimSun"/>
          <w:i/>
          <w:color w:val="000000"/>
          <w:szCs w:val="22"/>
          <w:u w:val="single"/>
          <w:lang w:val="sk-SK" w:eastAsia="sk-SK"/>
        </w:rPr>
        <w:t xml:space="preserve">Paratyreoidný karcinóm a primárna hyperparatyreóza </w:t>
      </w: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V jednej štúdii 46 dospelých pacientov (29 s paratyreoidným ka</w:t>
      </w:r>
      <w:r w:rsidR="00D87436" w:rsidRPr="007E2053">
        <w:rPr>
          <w:rFonts w:eastAsia="SimSun"/>
          <w:color w:val="000000"/>
          <w:szCs w:val="22"/>
          <w:lang w:val="sk-SK" w:eastAsia="sk-SK"/>
        </w:rPr>
        <w:t>rcinómom a 17 s primárnou HPT a </w:t>
      </w:r>
      <w:r w:rsidRPr="007E2053">
        <w:rPr>
          <w:rFonts w:eastAsia="SimSun"/>
          <w:color w:val="000000"/>
          <w:szCs w:val="22"/>
          <w:lang w:val="sk-SK" w:eastAsia="sk-SK"/>
        </w:rPr>
        <w:t>závažnou hyperkalciémiou, u ktorých paratyreoidektómia zlyhala alebo bola kontraindikovaná) dostávalo cinakalcet počas maximálne 3 rokov (priemerne 328 dní u pacientov s paratyreoidným karcinómom a priemerne 347 dní u pacientov s primárnou HPT). Cin</w:t>
      </w:r>
      <w:r w:rsidR="00D87436" w:rsidRPr="007E2053">
        <w:rPr>
          <w:rFonts w:eastAsia="SimSun"/>
          <w:color w:val="000000"/>
          <w:szCs w:val="22"/>
          <w:lang w:val="sk-SK" w:eastAsia="sk-SK"/>
        </w:rPr>
        <w:t>akalcet sa podával v dávkach od 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30 mg dvakrát denne po 90 mg štyrikrát denne. Primárnym cieľovým ukazovateľom štúdie bol pokles hladiny sérového vápnika o </w:t>
      </w:r>
      <w:r w:rsidR="00D87436" w:rsidRPr="007E2053">
        <w:rPr>
          <w:lang w:val="sk-SK"/>
        </w:rPr>
        <w:t>≥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1 mg/</w:t>
      </w:r>
      <w:r w:rsidR="00D90C77">
        <w:rPr>
          <w:rFonts w:eastAsia="SimSun"/>
          <w:color w:val="000000"/>
          <w:szCs w:val="22"/>
          <w:lang w:val="sk-SK" w:eastAsia="sk-SK"/>
        </w:rPr>
        <w:t>dl (0,25 mmol/l). U pacientov s</w:t>
      </w:r>
      <w:r w:rsidR="00FA6326">
        <w:rPr>
          <w:rFonts w:eastAsia="SimSun"/>
          <w:color w:val="000000"/>
          <w:szCs w:val="22"/>
          <w:lang w:val="sk-SK" w:eastAsia="sk-SK"/>
        </w:rPr>
        <w:t> </w:t>
      </w:r>
      <w:r w:rsidRPr="007E2053">
        <w:rPr>
          <w:rFonts w:eastAsia="SimSun"/>
          <w:color w:val="000000"/>
          <w:szCs w:val="22"/>
          <w:lang w:val="sk-SK" w:eastAsia="sk-SK"/>
        </w:rPr>
        <w:t>paratyreoidným karcinómom klesla priemerná hladina sérového vápnika zo 14,1 mg/dl</w:t>
      </w:r>
      <w:r w:rsidR="00D87436" w:rsidRPr="007E2053">
        <w:rPr>
          <w:rFonts w:eastAsia="SimSun"/>
          <w:color w:val="000000"/>
          <w:szCs w:val="22"/>
          <w:lang w:val="sk-SK" w:eastAsia="sk-SK"/>
        </w:rPr>
        <w:t xml:space="preserve"> na 12,4 mg/dl (z 3,5 mmol/l na </w:t>
      </w:r>
      <w:r w:rsidRPr="007E2053">
        <w:rPr>
          <w:rFonts w:eastAsia="SimSun"/>
          <w:color w:val="000000"/>
          <w:szCs w:val="22"/>
          <w:lang w:val="sk-SK" w:eastAsia="sk-SK"/>
        </w:rPr>
        <w:t>3,1 mmol/l), zatiaľ čo u pacientov s primárnou HPT sérové hladiny</w:t>
      </w:r>
      <w:r w:rsidR="00D87436" w:rsidRPr="007E2053">
        <w:rPr>
          <w:rFonts w:eastAsia="SimSun"/>
          <w:color w:val="000000"/>
          <w:szCs w:val="22"/>
          <w:lang w:val="sk-SK" w:eastAsia="sk-SK"/>
        </w:rPr>
        <w:t xml:space="preserve"> vápnika klesli z 12,7 mg/dl na </w:t>
      </w:r>
      <w:r w:rsidRPr="007E2053">
        <w:rPr>
          <w:rFonts w:eastAsia="SimSun"/>
          <w:color w:val="000000"/>
          <w:szCs w:val="22"/>
          <w:lang w:val="sk-SK" w:eastAsia="sk-SK"/>
        </w:rPr>
        <w:t>10,4 mg/dl (z 3,2 mmol/l na 2,6 mmol/l ). U osemnástich (18) z 29 pacientov (62 %) s</w:t>
      </w:r>
      <w:r w:rsidR="00FA6326">
        <w:rPr>
          <w:rFonts w:eastAsia="SimSun"/>
          <w:color w:val="000000"/>
          <w:szCs w:val="22"/>
          <w:lang w:val="sk-SK" w:eastAsia="sk-SK"/>
        </w:rPr>
        <w:t> </w:t>
      </w:r>
      <w:r w:rsidRPr="007E2053">
        <w:rPr>
          <w:rFonts w:eastAsia="SimSun"/>
          <w:color w:val="000000"/>
          <w:szCs w:val="22"/>
          <w:lang w:val="sk-SK" w:eastAsia="sk-SK"/>
        </w:rPr>
        <w:t>paratyreoidným karcinómom a u 15 zo 17 jedincov (88 %) s primárnou HPT sa dosiahlo zníženie sérovej hladiny vápnika ≥ 1 mg/dl (≥ 0,25 mmol/l).</w:t>
      </w: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szCs w:val="22"/>
          <w:lang w:val="sk-SK"/>
        </w:rPr>
        <w:t>Do 28-týždňovej, placebom kontrolovanej štúdie bolo zaradených 67 dospelých pacientov s primárnou HPT, ktorí splnili kritériá pre paratyreoidektómiu na základe korigovanej hladiny celkového sérového vápnika &gt; 11,3 mg/dl (2,82 mmol/l), ale ≤ 12,5 mg/dl (3,12 mmol/l), ktorí však neboli schopní podstúpiť paratyreoidektómiu. Cinakalcet sa začal podávať v dávke 30 mg dvakrát denne a bol titrovaný na dávku, ktorá udržovala korigovanú koncentrác</w:t>
      </w:r>
      <w:r w:rsidR="00D87436" w:rsidRPr="007E2053">
        <w:rPr>
          <w:szCs w:val="22"/>
          <w:lang w:val="sk-SK"/>
        </w:rPr>
        <w:t>iu celkového sérového vápnika v </w:t>
      </w:r>
      <w:r w:rsidRPr="007E2053">
        <w:rPr>
          <w:szCs w:val="22"/>
          <w:lang w:val="sk-SK"/>
        </w:rPr>
        <w:t>normálnom rozmedzí. Významne vyššie percento pacientov liečených cinakalcetom dosiahlo priemernú korigovanú koncentráciu celkového sérového vápnika ≤ 10,3 mg/dl (2,57 mmol/l) a pokles o ≥ 1 mg/dl (0,25 mmol/l) oproti východiskovej hodnote priemernej korigovanej koncentrácie</w:t>
      </w: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szCs w:val="22"/>
          <w:lang w:val="sk-SK"/>
        </w:rPr>
      </w:pPr>
      <w:r w:rsidRPr="007E2053">
        <w:rPr>
          <w:szCs w:val="22"/>
          <w:lang w:val="sk-SK"/>
        </w:rPr>
        <w:t>celkového sérového vápnika v porovnaní s pacientmi, ktorí dostávali placebo (75,8 % oproti 0 % a 84,8 % oproti 5,9 %, v uvedenom poradí).</w:t>
      </w:r>
    </w:p>
    <w:p w:rsidR="00E35895" w:rsidRPr="007E2053" w:rsidRDefault="00E35895" w:rsidP="00E35895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sk-SK"/>
        </w:rPr>
      </w:pPr>
    </w:p>
    <w:p w:rsidR="001F4901" w:rsidRPr="007E2053" w:rsidRDefault="001F4901" w:rsidP="0029034C">
      <w:pPr>
        <w:keepNext/>
        <w:spacing w:line="240" w:lineRule="auto"/>
        <w:ind w:left="567" w:hanging="567"/>
        <w:outlineLvl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lastRenderedPageBreak/>
        <w:t>5.2</w:t>
      </w:r>
      <w:r w:rsidRPr="007E2053">
        <w:rPr>
          <w:b/>
          <w:noProof/>
          <w:szCs w:val="22"/>
          <w:lang w:val="sk-SK"/>
        </w:rPr>
        <w:tab/>
      </w:r>
      <w:r w:rsidR="00BA314B" w:rsidRPr="007E2053">
        <w:rPr>
          <w:b/>
          <w:noProof/>
          <w:szCs w:val="22"/>
          <w:lang w:val="sk-SK"/>
        </w:rPr>
        <w:t>Farmakokinetické vlastnosti</w:t>
      </w:r>
    </w:p>
    <w:p w:rsidR="00204970" w:rsidRPr="007E2053" w:rsidRDefault="00204970" w:rsidP="0029034C">
      <w:pPr>
        <w:keepNext/>
        <w:spacing w:line="240" w:lineRule="auto"/>
        <w:rPr>
          <w:szCs w:val="22"/>
          <w:lang w:val="sk-SK"/>
        </w:rPr>
      </w:pP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9E7A14">
        <w:rPr>
          <w:rFonts w:eastAsia="SimSun"/>
          <w:color w:val="000000"/>
          <w:szCs w:val="22"/>
          <w:u w:val="single"/>
          <w:lang w:val="sk-SK" w:eastAsia="sk-SK"/>
        </w:rPr>
        <w:t xml:space="preserve">Absorpcia </w:t>
      </w: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9E7A14">
        <w:rPr>
          <w:rFonts w:eastAsia="SimSun"/>
          <w:color w:val="000000"/>
          <w:szCs w:val="22"/>
          <w:lang w:val="sk-SK" w:eastAsia="sk-SK"/>
        </w:rPr>
        <w:t xml:space="preserve">Po perorálnom podaní </w:t>
      </w:r>
      <w:r w:rsidRPr="007E2053">
        <w:rPr>
          <w:rFonts w:eastAsia="SimSun"/>
          <w:color w:val="000000"/>
          <w:szCs w:val="22"/>
          <w:lang w:val="sk-SK" w:eastAsia="sk-SK"/>
        </w:rPr>
        <w:t>cinakalcetu</w:t>
      </w:r>
      <w:r w:rsidRPr="009E7A14">
        <w:rPr>
          <w:rFonts w:eastAsia="SimSun"/>
          <w:color w:val="000000"/>
          <w:szCs w:val="22"/>
          <w:lang w:val="sk-SK" w:eastAsia="sk-SK"/>
        </w:rPr>
        <w:t xml:space="preserve"> sa maximálna plazmatická koncentrácia cinakalcetu dosiahne približne za 2 až 6 hodín. Na základe porovnaní medzi štúdiami je absolútna biodostupnosť cinakalcetu podávaného nalačno odhadovaná asi na 20-25 %. Podávanie </w:t>
      </w:r>
      <w:r w:rsidRPr="007E2053">
        <w:rPr>
          <w:rFonts w:eastAsia="SimSun"/>
          <w:color w:val="000000"/>
          <w:szCs w:val="22"/>
          <w:lang w:val="sk-SK" w:eastAsia="sk-SK"/>
        </w:rPr>
        <w:t>cinakalcetu</w:t>
      </w:r>
      <w:r w:rsidRPr="009E7A14">
        <w:rPr>
          <w:rFonts w:eastAsia="SimSun"/>
          <w:color w:val="000000"/>
          <w:szCs w:val="22"/>
          <w:lang w:val="sk-SK" w:eastAsia="sk-SK"/>
        </w:rPr>
        <w:t xml:space="preserve"> s potravou zvyšuje biodostupnosť cinakalcetu približne o 50-80 %. Zvýšenie plazmatickej koncentrácie cinakalcetu je podobné, nezávisle od obsahu tukov v potrave. </w:t>
      </w:r>
    </w:p>
    <w:p w:rsidR="009E7A14" w:rsidRPr="007E2053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9E7A14">
        <w:rPr>
          <w:rFonts w:eastAsia="SimSun"/>
          <w:color w:val="000000"/>
          <w:szCs w:val="22"/>
          <w:lang w:val="sk-SK" w:eastAsia="sk-SK"/>
        </w:rPr>
        <w:t xml:space="preserve">Pri dávkach nad 200 mg bola absorpcia saturovaná, pravdepodobne v dôsledku slabej rozpustnosti. </w:t>
      </w:r>
    </w:p>
    <w:p w:rsidR="009E7A14" w:rsidRPr="007E2053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9E7A14">
        <w:rPr>
          <w:rFonts w:eastAsia="SimSun"/>
          <w:color w:val="000000"/>
          <w:szCs w:val="22"/>
          <w:u w:val="single"/>
          <w:lang w:val="sk-SK" w:eastAsia="sk-SK"/>
        </w:rPr>
        <w:t xml:space="preserve">Distribúcia </w:t>
      </w: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9E7A14">
        <w:rPr>
          <w:rFonts w:eastAsia="SimSun"/>
          <w:color w:val="000000"/>
          <w:szCs w:val="22"/>
          <w:lang w:val="sk-SK" w:eastAsia="sk-SK"/>
        </w:rPr>
        <w:t xml:space="preserve">Distribučný objem je vysoký (približne 1 000 litrov), čo nasvedčuje extenzívnej distribúcii. Cinakalcet sa približne z 97 % viaže na plazmatické proteíny a distribuuje sa len minimálne do červených krviniek. </w:t>
      </w:r>
    </w:p>
    <w:p w:rsidR="009E7A14" w:rsidRPr="007E2053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9E7A14">
        <w:rPr>
          <w:rFonts w:eastAsia="SimSun"/>
          <w:color w:val="000000"/>
          <w:szCs w:val="22"/>
          <w:lang w:val="sk-SK" w:eastAsia="sk-SK"/>
        </w:rPr>
        <w:t xml:space="preserve">Po absorpcii klesá koncentrácia cinakalcetu bifázickým spôsobom s </w:t>
      </w:r>
      <w:r w:rsidRPr="007E2053">
        <w:rPr>
          <w:rFonts w:eastAsia="SimSun"/>
          <w:color w:val="000000"/>
          <w:szCs w:val="22"/>
          <w:lang w:val="sk-SK" w:eastAsia="sk-SK"/>
        </w:rPr>
        <w:t>iniciálnym polčasom približne 6 </w:t>
      </w:r>
      <w:r w:rsidRPr="009E7A14">
        <w:rPr>
          <w:rFonts w:eastAsia="SimSun"/>
          <w:color w:val="000000"/>
          <w:szCs w:val="22"/>
          <w:lang w:val="sk-SK" w:eastAsia="sk-SK"/>
        </w:rPr>
        <w:t xml:space="preserve">hodín a terminálnym polčasom približne 30 až 40 hodín. Rovnovážne hladiny cinakalcetu sa dosahujú do 7 dní s minimálnou kumuláciou. Farmakokinetika cinakalcetu sa nemení časom. </w:t>
      </w:r>
    </w:p>
    <w:p w:rsidR="009E7A14" w:rsidRPr="007E2053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9E7A14">
        <w:rPr>
          <w:rFonts w:eastAsia="SimSun"/>
          <w:color w:val="000000"/>
          <w:szCs w:val="22"/>
          <w:u w:val="single"/>
          <w:lang w:val="sk-SK" w:eastAsia="sk-SK"/>
        </w:rPr>
        <w:t xml:space="preserve">Biotransformácia </w:t>
      </w: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9E7A14">
        <w:rPr>
          <w:rFonts w:eastAsia="SimSun"/>
          <w:color w:val="000000"/>
          <w:szCs w:val="22"/>
          <w:lang w:val="sk-SK" w:eastAsia="sk-SK"/>
        </w:rPr>
        <w:t xml:space="preserve">Cinakalcet sa metabolizuje prostredníctvom mnohých enzýmov, prevažne CYP3A4 a CYP1A2 (podiel CYP1A2 sa necharakterizoval klinicky). Hlavné cirkulujúce metabolity sú neaktívne. </w:t>
      </w:r>
    </w:p>
    <w:p w:rsidR="009E7A14" w:rsidRPr="007E2053" w:rsidRDefault="009E7A14" w:rsidP="009E7A14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</w:p>
    <w:p w:rsidR="00503745" w:rsidRPr="007E2053" w:rsidRDefault="009E7A14" w:rsidP="009E7A14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Na základe </w:t>
      </w: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in vitro </w:t>
      </w:r>
      <w:r w:rsidRPr="007E2053">
        <w:rPr>
          <w:rFonts w:eastAsia="SimSun"/>
          <w:color w:val="000000"/>
          <w:szCs w:val="22"/>
          <w:lang w:val="sk-SK" w:eastAsia="sk-SK"/>
        </w:rPr>
        <w:t>údajov je cinakalcet silný inhibítor CYP2D6, ale pri klinicky dosiahnutých koncentráciách nie je inhibítorom iných CYP enzýmov vrátane CYP1A2, CYP2C8, CYP2C9, CYP2C19 a CYP3A4, ani induktorom CYP1A2, CYP2C19 a CYP3A4.</w:t>
      </w:r>
    </w:p>
    <w:p w:rsidR="009E7A14" w:rsidRPr="007E2053" w:rsidRDefault="009E7A14" w:rsidP="009E7A14">
      <w:pPr>
        <w:numPr>
          <w:ilvl w:val="12"/>
          <w:numId w:val="0"/>
        </w:numPr>
        <w:spacing w:line="240" w:lineRule="auto"/>
        <w:ind w:right="-2"/>
        <w:rPr>
          <w:szCs w:val="22"/>
          <w:lang w:val="sk-SK"/>
        </w:rPr>
      </w:pP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9E7A14">
        <w:rPr>
          <w:rFonts w:eastAsia="SimSun"/>
          <w:color w:val="000000"/>
          <w:szCs w:val="22"/>
          <w:u w:val="single"/>
          <w:lang w:val="sk-SK" w:eastAsia="sk-SK"/>
        </w:rPr>
        <w:t xml:space="preserve">Eliminácia </w:t>
      </w: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9E7A14">
        <w:rPr>
          <w:rFonts w:eastAsia="SimSun"/>
          <w:color w:val="000000"/>
          <w:szCs w:val="22"/>
          <w:lang w:val="sk-SK" w:eastAsia="sk-SK"/>
        </w:rPr>
        <w:t>Po podaní 75 mg rádioaktívne značenej dávky zdravým dobro</w:t>
      </w:r>
      <w:r w:rsidRPr="007E2053">
        <w:rPr>
          <w:rFonts w:eastAsia="SimSun"/>
          <w:color w:val="000000"/>
          <w:szCs w:val="22"/>
          <w:lang w:val="sk-SK" w:eastAsia="sk-SK"/>
        </w:rPr>
        <w:t>voľníkom sa cinakalcet rýchlo a </w:t>
      </w:r>
      <w:r w:rsidRPr="009E7A14">
        <w:rPr>
          <w:rFonts w:eastAsia="SimSun"/>
          <w:color w:val="000000"/>
          <w:szCs w:val="22"/>
          <w:lang w:val="sk-SK" w:eastAsia="sk-SK"/>
        </w:rPr>
        <w:t xml:space="preserve">extenzívne metabolizoval oxidáciou a následne konjugáciou. Renálna exkrécia metabolitov bola hlavnou cestou eliminácie rádioaktivity. Približne 80 % dávky sa vylúčilo močom a 15 % stolicou. </w:t>
      </w:r>
    </w:p>
    <w:p w:rsidR="009E7A14" w:rsidRPr="007E2053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9E7A14">
        <w:rPr>
          <w:rFonts w:eastAsia="SimSun"/>
          <w:color w:val="000000"/>
          <w:szCs w:val="22"/>
          <w:u w:val="single"/>
          <w:lang w:val="sk-SK" w:eastAsia="sk-SK"/>
        </w:rPr>
        <w:t xml:space="preserve">Linearita/nelinearita </w:t>
      </w: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9E7A14">
        <w:rPr>
          <w:rFonts w:eastAsia="SimSun"/>
          <w:color w:val="000000"/>
          <w:szCs w:val="22"/>
          <w:lang w:val="sk-SK" w:eastAsia="sk-SK"/>
        </w:rPr>
        <w:t>Hodnoty AUC a C</w:t>
      </w:r>
      <w:r w:rsidRPr="009E7A14">
        <w:rPr>
          <w:rFonts w:eastAsia="SimSun"/>
          <w:color w:val="000000"/>
          <w:sz w:val="14"/>
          <w:szCs w:val="14"/>
          <w:lang w:val="sk-SK" w:eastAsia="sk-SK"/>
        </w:rPr>
        <w:t xml:space="preserve">max </w:t>
      </w:r>
      <w:r w:rsidRPr="009E7A14">
        <w:rPr>
          <w:rFonts w:eastAsia="SimSun"/>
          <w:color w:val="000000"/>
          <w:szCs w:val="22"/>
          <w:lang w:val="sk-SK" w:eastAsia="sk-SK"/>
        </w:rPr>
        <w:t xml:space="preserve">cinakalcetu sa zvyšujú približne lineárne v intervale dávok 30 až 180 mg raz denne. </w:t>
      </w:r>
    </w:p>
    <w:p w:rsidR="009E7A14" w:rsidRPr="007E2053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u w:val="single"/>
          <w:lang w:val="sk-SK" w:eastAsia="sk-SK"/>
        </w:rPr>
      </w:pPr>
      <w:r w:rsidRPr="009E7A14">
        <w:rPr>
          <w:rFonts w:eastAsia="SimSun"/>
          <w:color w:val="000000"/>
          <w:szCs w:val="22"/>
          <w:u w:val="single"/>
          <w:lang w:val="sk-SK" w:eastAsia="sk-SK"/>
        </w:rPr>
        <w:t xml:space="preserve">Farmakokinetický/farmakodynamický vzťah </w:t>
      </w:r>
    </w:p>
    <w:p w:rsidR="009E7A14" w:rsidRPr="009E7A14" w:rsidRDefault="009E7A14" w:rsidP="009E7A1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9E7A14">
        <w:rPr>
          <w:rFonts w:eastAsia="SimSun"/>
          <w:color w:val="000000"/>
          <w:szCs w:val="22"/>
          <w:lang w:val="sk-SK" w:eastAsia="sk-SK"/>
        </w:rPr>
        <w:t>Ihneď po podaní dávky sa PTH začína znižovať až na minimálnu ho</w:t>
      </w:r>
      <w:r w:rsidRPr="007E2053">
        <w:rPr>
          <w:rFonts w:eastAsia="SimSun"/>
          <w:color w:val="000000"/>
          <w:szCs w:val="22"/>
          <w:lang w:val="sk-SK" w:eastAsia="sk-SK"/>
        </w:rPr>
        <w:t>dnotu približne 2 až 6 hodín po </w:t>
      </w:r>
      <w:r w:rsidRPr="009E7A14">
        <w:rPr>
          <w:rFonts w:eastAsia="SimSun"/>
          <w:color w:val="000000"/>
          <w:szCs w:val="22"/>
          <w:lang w:val="sk-SK" w:eastAsia="sk-SK"/>
        </w:rPr>
        <w:t>podaní dávky, čo sa zhoduje s C</w:t>
      </w:r>
      <w:r w:rsidRPr="009E7A14">
        <w:rPr>
          <w:rFonts w:eastAsia="SimSun"/>
          <w:color w:val="000000"/>
          <w:sz w:val="14"/>
          <w:szCs w:val="14"/>
          <w:lang w:val="sk-SK" w:eastAsia="sk-SK"/>
        </w:rPr>
        <w:t xml:space="preserve">max </w:t>
      </w:r>
      <w:r w:rsidRPr="009E7A14">
        <w:rPr>
          <w:rFonts w:eastAsia="SimSun"/>
          <w:color w:val="000000"/>
          <w:szCs w:val="22"/>
          <w:lang w:val="sk-SK" w:eastAsia="sk-SK"/>
        </w:rPr>
        <w:t xml:space="preserve">cinakalcetu. Následne, keďže hladiny cinakalcetu začínajú klesať, </w:t>
      </w:r>
      <w:r w:rsidR="00B45424">
        <w:rPr>
          <w:rFonts w:eastAsia="SimSun"/>
          <w:color w:val="000000"/>
          <w:szCs w:val="22"/>
          <w:lang w:val="sk-SK" w:eastAsia="sk-SK"/>
        </w:rPr>
        <w:t xml:space="preserve">sa hladiny PTH </w:t>
      </w:r>
      <w:r w:rsidRPr="009E7A14">
        <w:rPr>
          <w:rFonts w:eastAsia="SimSun"/>
          <w:color w:val="000000"/>
          <w:szCs w:val="22"/>
          <w:lang w:val="sk-SK" w:eastAsia="sk-SK"/>
        </w:rPr>
        <w:t>zvyšujú až do 12 hodín po dávke a potom supr</w:t>
      </w:r>
      <w:r w:rsidRPr="007E2053">
        <w:rPr>
          <w:rFonts w:eastAsia="SimSun"/>
          <w:color w:val="000000"/>
          <w:szCs w:val="22"/>
          <w:lang w:val="sk-SK" w:eastAsia="sk-SK"/>
        </w:rPr>
        <w:t>esia PTH pretrváva približne na </w:t>
      </w:r>
      <w:r w:rsidRPr="009E7A14">
        <w:rPr>
          <w:rFonts w:eastAsia="SimSun"/>
          <w:color w:val="000000"/>
          <w:szCs w:val="22"/>
          <w:lang w:val="sk-SK" w:eastAsia="sk-SK"/>
        </w:rPr>
        <w:t>konštantnej úrovni až do konca dávkovacieho intervalu jedenkrát denne. V klinických skúšaniach s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 cinakalcetom </w:t>
      </w:r>
      <w:r w:rsidRPr="009E7A14">
        <w:rPr>
          <w:rFonts w:eastAsia="SimSun"/>
          <w:color w:val="000000"/>
          <w:szCs w:val="22"/>
          <w:lang w:val="sk-SK" w:eastAsia="sk-SK"/>
        </w:rPr>
        <w:t xml:space="preserve">boli hladiny PTH merané na konci dávkovacieho intervalu. </w:t>
      </w:r>
    </w:p>
    <w:p w:rsidR="009E7A14" w:rsidRPr="007E2053" w:rsidRDefault="009E7A14" w:rsidP="009E7A14">
      <w:pPr>
        <w:numPr>
          <w:ilvl w:val="12"/>
          <w:numId w:val="0"/>
        </w:numPr>
        <w:spacing w:line="240" w:lineRule="auto"/>
        <w:ind w:right="-2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9E7A14" w:rsidRPr="007E2053" w:rsidRDefault="009E7A14" w:rsidP="009E7A14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Starší pacienti: </w:t>
      </w:r>
      <w:r w:rsidRPr="007E2053">
        <w:rPr>
          <w:rFonts w:eastAsia="SimSun"/>
          <w:color w:val="000000"/>
          <w:szCs w:val="22"/>
          <w:lang w:val="sk-SK" w:eastAsia="sk-SK"/>
        </w:rPr>
        <w:t>Nie sú známe žiadne klinicky významné rozdiely vo farmakokinetike cinakalcetu v dôsledku veku.</w:t>
      </w:r>
    </w:p>
    <w:p w:rsidR="009E7A14" w:rsidRPr="007E2053" w:rsidRDefault="009E7A14" w:rsidP="009E7A14">
      <w:pPr>
        <w:numPr>
          <w:ilvl w:val="12"/>
          <w:numId w:val="0"/>
        </w:numPr>
        <w:spacing w:line="240" w:lineRule="auto"/>
        <w:ind w:right="-2"/>
        <w:rPr>
          <w:szCs w:val="22"/>
          <w:lang w:val="sk-SK"/>
        </w:rPr>
      </w:pPr>
    </w:p>
    <w:p w:rsidR="00EC19F7" w:rsidRPr="007E2053" w:rsidRDefault="00EC19F7" w:rsidP="00EC19F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C19F7">
        <w:rPr>
          <w:rFonts w:eastAsia="SimSun"/>
          <w:i/>
          <w:iCs/>
          <w:color w:val="000000"/>
          <w:szCs w:val="22"/>
          <w:lang w:val="sk-SK" w:eastAsia="sk-SK"/>
        </w:rPr>
        <w:t xml:space="preserve">Renálna insuficiencia: </w:t>
      </w:r>
      <w:r w:rsidRPr="00EC19F7">
        <w:rPr>
          <w:rFonts w:eastAsia="SimSun"/>
          <w:color w:val="000000"/>
          <w:szCs w:val="22"/>
          <w:lang w:val="sk-SK" w:eastAsia="sk-SK"/>
        </w:rPr>
        <w:t>Farmakokinetický profil cinakalcetu u pacie</w:t>
      </w:r>
      <w:r w:rsidR="00FF1076" w:rsidRPr="007E2053">
        <w:rPr>
          <w:rFonts w:eastAsia="SimSun"/>
          <w:color w:val="000000"/>
          <w:szCs w:val="22"/>
          <w:lang w:val="sk-SK" w:eastAsia="sk-SK"/>
        </w:rPr>
        <w:t>ntov s ľahkou, stredne ťažkou a </w:t>
      </w:r>
      <w:r w:rsidRPr="00EC19F7">
        <w:rPr>
          <w:rFonts w:eastAsia="SimSun"/>
          <w:color w:val="000000"/>
          <w:szCs w:val="22"/>
          <w:lang w:val="sk-SK" w:eastAsia="sk-SK"/>
        </w:rPr>
        <w:t xml:space="preserve">ťažkou renálnou insuficienciou a u pacientov na hemodialýze alebo peritoneálnej dialýze je porovnateľný s profilom u zdravých dobrovoľníkov. </w:t>
      </w:r>
    </w:p>
    <w:p w:rsidR="00EC19F7" w:rsidRPr="00EC19F7" w:rsidRDefault="00EC19F7" w:rsidP="00EC19F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EC19F7" w:rsidRPr="00EC19F7" w:rsidRDefault="00EC19F7" w:rsidP="00EC19F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C19F7">
        <w:rPr>
          <w:rFonts w:eastAsia="SimSun"/>
          <w:i/>
          <w:iCs/>
          <w:color w:val="000000"/>
          <w:szCs w:val="22"/>
          <w:lang w:val="sk-SK" w:eastAsia="sk-SK"/>
        </w:rPr>
        <w:t xml:space="preserve">Hepatálna insuficiencia: </w:t>
      </w:r>
      <w:r w:rsidRPr="00EC19F7">
        <w:rPr>
          <w:rFonts w:eastAsia="SimSun"/>
          <w:color w:val="000000"/>
          <w:szCs w:val="22"/>
          <w:lang w:val="sk-SK" w:eastAsia="sk-SK"/>
        </w:rPr>
        <w:t xml:space="preserve">Ľahká porucha funkcie pečene podstatne neovplyvňuje farmakokinetiku cinakalcetu. V porovnaní s osobami s normálnou funkciou pečene boli priemerné hodnoty AUC cinakalcetu približne 2-násobne vyššie u osôb so stredne ťažkou poruchou a približne 4-násobne vyššie u osôb s </w:t>
      </w:r>
      <w:r w:rsidR="00B55167">
        <w:rPr>
          <w:rFonts w:eastAsia="SimSun"/>
          <w:color w:val="000000"/>
          <w:szCs w:val="22"/>
          <w:lang w:val="sk-SK" w:eastAsia="sk-SK"/>
        </w:rPr>
        <w:t>ťažkou</w:t>
      </w:r>
      <w:r w:rsidR="00B55167" w:rsidRPr="00EC19F7">
        <w:rPr>
          <w:rFonts w:eastAsia="SimSun"/>
          <w:color w:val="000000"/>
          <w:szCs w:val="22"/>
          <w:lang w:val="sk-SK" w:eastAsia="sk-SK"/>
        </w:rPr>
        <w:t xml:space="preserve"> </w:t>
      </w:r>
      <w:r w:rsidRPr="00EC19F7">
        <w:rPr>
          <w:rFonts w:eastAsia="SimSun"/>
          <w:color w:val="000000"/>
          <w:szCs w:val="22"/>
          <w:lang w:val="sk-SK" w:eastAsia="sk-SK"/>
        </w:rPr>
        <w:t>poruchou. Priemerný polčas cinakalcetu bol predĺžený o 33 % u pacientov so</w:t>
      </w:r>
      <w:r w:rsidR="000F1417">
        <w:rPr>
          <w:rFonts w:eastAsia="SimSun"/>
          <w:color w:val="000000"/>
          <w:szCs w:val="22"/>
          <w:lang w:val="sk-SK" w:eastAsia="sk-SK"/>
        </w:rPr>
        <w:t> </w:t>
      </w:r>
      <w:r w:rsidRPr="00EC19F7">
        <w:rPr>
          <w:rFonts w:eastAsia="SimSun"/>
          <w:color w:val="000000"/>
          <w:szCs w:val="22"/>
          <w:lang w:val="sk-SK" w:eastAsia="sk-SK"/>
        </w:rPr>
        <w:t>stredne ťažkou a o 70 % u pacientov s ťažkou poruchou funkc</w:t>
      </w:r>
      <w:r w:rsidR="00FF1076" w:rsidRPr="007E2053">
        <w:rPr>
          <w:rFonts w:eastAsia="SimSun"/>
          <w:color w:val="000000"/>
          <w:szCs w:val="22"/>
          <w:lang w:val="sk-SK" w:eastAsia="sk-SK"/>
        </w:rPr>
        <w:t>ie pečene. Väzba cinakalcetu na </w:t>
      </w:r>
      <w:r w:rsidRPr="00EC19F7">
        <w:rPr>
          <w:rFonts w:eastAsia="SimSun"/>
          <w:color w:val="000000"/>
          <w:szCs w:val="22"/>
          <w:lang w:val="sk-SK" w:eastAsia="sk-SK"/>
        </w:rPr>
        <w:t xml:space="preserve">proteíny nie je ovplyvnená poruchou funkcie pečene. Keďže dávky sa titrujú pre každého pacienta </w:t>
      </w:r>
      <w:r w:rsidRPr="00EC19F7">
        <w:rPr>
          <w:rFonts w:eastAsia="SimSun"/>
          <w:color w:val="000000"/>
          <w:szCs w:val="22"/>
          <w:lang w:val="sk-SK" w:eastAsia="sk-SK"/>
        </w:rPr>
        <w:lastRenderedPageBreak/>
        <w:t xml:space="preserve">na základe parametrov bezpečnosti a účinnosti, nie je potrebná ďalšia úprava dávok u osôb s poruchou funkcie pečene (pozri časti 4.2 a 4.4). </w:t>
      </w:r>
    </w:p>
    <w:p w:rsidR="00EC19F7" w:rsidRPr="007E2053" w:rsidRDefault="00EC19F7" w:rsidP="00EC19F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EC19F7" w:rsidRPr="00EC19F7" w:rsidRDefault="00EC19F7" w:rsidP="00EC19F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C19F7">
        <w:rPr>
          <w:rFonts w:eastAsia="SimSun"/>
          <w:i/>
          <w:iCs/>
          <w:color w:val="000000"/>
          <w:szCs w:val="22"/>
          <w:lang w:val="sk-SK" w:eastAsia="sk-SK"/>
        </w:rPr>
        <w:t xml:space="preserve">Pohlavie: </w:t>
      </w:r>
      <w:r w:rsidRPr="00EC19F7">
        <w:rPr>
          <w:rFonts w:eastAsia="SimSun"/>
          <w:color w:val="000000"/>
          <w:szCs w:val="22"/>
          <w:lang w:val="sk-SK" w:eastAsia="sk-SK"/>
        </w:rPr>
        <w:t>Klírens cinakalcetu môže byť u žien nižší ako u mužov. Ke</w:t>
      </w:r>
      <w:r w:rsidR="00FF1076" w:rsidRPr="007E2053">
        <w:rPr>
          <w:rFonts w:eastAsia="SimSun"/>
          <w:color w:val="000000"/>
          <w:szCs w:val="22"/>
          <w:lang w:val="sk-SK" w:eastAsia="sk-SK"/>
        </w:rPr>
        <w:t>ďže dávky sa titrujú zvlášť pre </w:t>
      </w:r>
      <w:r w:rsidRPr="00EC19F7">
        <w:rPr>
          <w:rFonts w:eastAsia="SimSun"/>
          <w:color w:val="000000"/>
          <w:szCs w:val="22"/>
          <w:lang w:val="sk-SK" w:eastAsia="sk-SK"/>
        </w:rPr>
        <w:t xml:space="preserve">každého pacienta, nie je nutné ďalej dávku upravovať podľa pohlavia pacienta. </w:t>
      </w:r>
    </w:p>
    <w:p w:rsidR="00EC19F7" w:rsidRPr="007E2053" w:rsidRDefault="00EC19F7" w:rsidP="00EC19F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EC19F7" w:rsidRPr="00EC19F7" w:rsidRDefault="00EC19F7" w:rsidP="00EC19F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C19F7">
        <w:rPr>
          <w:rFonts w:eastAsia="SimSun"/>
          <w:i/>
          <w:iCs/>
          <w:color w:val="000000"/>
          <w:szCs w:val="22"/>
          <w:lang w:val="sk-SK" w:eastAsia="sk-SK"/>
        </w:rPr>
        <w:t xml:space="preserve">Pediatrická populácia: </w:t>
      </w:r>
      <w:r w:rsidRPr="00EC19F7">
        <w:rPr>
          <w:rFonts w:eastAsia="SimSun"/>
          <w:color w:val="000000"/>
          <w:szCs w:val="22"/>
          <w:lang w:val="sk-SK" w:eastAsia="sk-SK"/>
        </w:rPr>
        <w:t>Farmakokinetika cinakalcetu sa skúmala u pe</w:t>
      </w:r>
      <w:r w:rsidR="00FF1076" w:rsidRPr="007E2053">
        <w:rPr>
          <w:rFonts w:eastAsia="SimSun"/>
          <w:color w:val="000000"/>
          <w:szCs w:val="22"/>
          <w:lang w:val="sk-SK" w:eastAsia="sk-SK"/>
        </w:rPr>
        <w:t>diatrických pacientov s ESRD na </w:t>
      </w:r>
      <w:r w:rsidRPr="00EC19F7">
        <w:rPr>
          <w:rFonts w:eastAsia="SimSun"/>
          <w:color w:val="000000"/>
          <w:szCs w:val="22"/>
          <w:lang w:val="sk-SK" w:eastAsia="sk-SK"/>
        </w:rPr>
        <w:t>dialýze vo veku 3 až 17 rokov. Po jednorazovej a viacnásobných perorálnych dávkach cinakalcetu raz denne boli plazmatické koncentrácie cinakalcetu (hodnoty C</w:t>
      </w:r>
      <w:r w:rsidRPr="00EC19F7">
        <w:rPr>
          <w:rFonts w:eastAsia="SimSun"/>
          <w:color w:val="000000"/>
          <w:sz w:val="14"/>
          <w:szCs w:val="14"/>
          <w:lang w:val="sk-SK" w:eastAsia="sk-SK"/>
        </w:rPr>
        <w:t xml:space="preserve">max </w:t>
      </w:r>
      <w:r w:rsidRPr="00EC19F7">
        <w:rPr>
          <w:rFonts w:eastAsia="SimSun"/>
          <w:color w:val="000000"/>
          <w:szCs w:val="22"/>
          <w:lang w:val="sk-SK" w:eastAsia="sk-SK"/>
        </w:rPr>
        <w:t xml:space="preserve">a AUC po štandardizácii podľa dávky a telesnej hmotnosti) podobné koncentráciám pozorovaným u dospelých pacientov. </w:t>
      </w:r>
    </w:p>
    <w:p w:rsidR="00EC19F7" w:rsidRPr="00EC19F7" w:rsidRDefault="00EC19F7" w:rsidP="00EC19F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EC19F7">
        <w:rPr>
          <w:rFonts w:eastAsia="SimSun"/>
          <w:color w:val="000000"/>
          <w:szCs w:val="22"/>
          <w:lang w:val="sk-SK" w:eastAsia="sk-SK"/>
        </w:rPr>
        <w:t xml:space="preserve">Na vyhodnotenie vplyvu demografických charakteristík sa vykonala populačná farmakokinetická analýza. Táto analýza nepreukázala žiadny významný vplyv veku, pohlavia, rasy, plochy telesného povrchu a telesnej hmotnosti na farmakokinetiku cinakalcetu. </w:t>
      </w:r>
    </w:p>
    <w:p w:rsidR="00EC19F7" w:rsidRPr="007E2053" w:rsidRDefault="00EC19F7" w:rsidP="00EC19F7">
      <w:pPr>
        <w:numPr>
          <w:ilvl w:val="12"/>
          <w:numId w:val="0"/>
        </w:numPr>
        <w:spacing w:line="240" w:lineRule="auto"/>
        <w:ind w:right="-2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EC19F7" w:rsidRPr="007E2053" w:rsidRDefault="00EC19F7" w:rsidP="00EC19F7">
      <w:pPr>
        <w:numPr>
          <w:ilvl w:val="12"/>
          <w:numId w:val="0"/>
        </w:numPr>
        <w:spacing w:line="240" w:lineRule="auto"/>
        <w:ind w:right="-2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i/>
          <w:iCs/>
          <w:color w:val="000000"/>
          <w:szCs w:val="22"/>
          <w:lang w:val="sk-SK" w:eastAsia="sk-SK"/>
        </w:rPr>
        <w:t xml:space="preserve">Fajčenie: </w:t>
      </w:r>
      <w:r w:rsidRPr="007E2053">
        <w:rPr>
          <w:rFonts w:eastAsia="SimSun"/>
          <w:color w:val="000000"/>
          <w:szCs w:val="22"/>
          <w:lang w:val="sk-SK" w:eastAsia="sk-SK"/>
        </w:rPr>
        <w:t>Klírens cinakalcetu je u fajčiarov vyšší</w:t>
      </w:r>
      <w:r w:rsidR="00FF1076" w:rsidRPr="007E2053">
        <w:rPr>
          <w:rFonts w:eastAsia="SimSun"/>
          <w:color w:val="000000"/>
          <w:szCs w:val="22"/>
          <w:lang w:val="sk-SK" w:eastAsia="sk-SK"/>
        </w:rPr>
        <w:t>,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než u</w:t>
      </w:r>
      <w:r w:rsidR="00FF1076" w:rsidRPr="007E2053">
        <w:rPr>
          <w:rFonts w:eastAsia="SimSun"/>
          <w:color w:val="000000"/>
          <w:szCs w:val="22"/>
          <w:lang w:val="sk-SK" w:eastAsia="sk-SK"/>
        </w:rPr>
        <w:t> </w:t>
      </w:r>
      <w:r w:rsidRPr="007E2053">
        <w:rPr>
          <w:rFonts w:eastAsia="SimSun"/>
          <w:color w:val="000000"/>
          <w:szCs w:val="22"/>
          <w:lang w:val="sk-SK" w:eastAsia="sk-SK"/>
        </w:rPr>
        <w:t>nefajčiarov</w:t>
      </w:r>
      <w:r w:rsidR="00FF1076" w:rsidRPr="007E2053">
        <w:rPr>
          <w:rFonts w:eastAsia="SimSun"/>
          <w:color w:val="000000"/>
          <w:szCs w:val="22"/>
          <w:lang w:val="sk-SK" w:eastAsia="sk-SK"/>
        </w:rPr>
        <w:t>,</w:t>
      </w:r>
      <w:r w:rsidRPr="007E2053">
        <w:rPr>
          <w:rFonts w:eastAsia="SimSun"/>
          <w:color w:val="000000"/>
          <w:szCs w:val="22"/>
          <w:lang w:val="sk-SK" w:eastAsia="sk-SK"/>
        </w:rPr>
        <w:t xml:space="preserve"> pravdepodobne z dôvodu indukcie metabolizmu sprostredkovaného enzýmom CYP1A2. Ak pacient začne alebo skončí</w:t>
      </w:r>
      <w:r w:rsidR="00FF1076" w:rsidRPr="007E2053">
        <w:rPr>
          <w:rFonts w:eastAsia="SimSun"/>
          <w:color w:val="000000"/>
          <w:szCs w:val="22"/>
          <w:lang w:val="sk-SK" w:eastAsia="sk-SK"/>
        </w:rPr>
        <w:t xml:space="preserve"> s </w:t>
      </w:r>
      <w:r w:rsidRPr="007E2053">
        <w:rPr>
          <w:rFonts w:eastAsia="SimSun"/>
          <w:color w:val="000000"/>
          <w:szCs w:val="22"/>
          <w:lang w:val="sk-SK" w:eastAsia="sk-SK"/>
        </w:rPr>
        <w:t>fajčením, plazmatické hladiny cinakalcetu sa môžu zmeniť a môže byť nevyhnutné upraviť dávku lieku.</w:t>
      </w:r>
    </w:p>
    <w:p w:rsidR="00EC19F7" w:rsidRPr="007E2053" w:rsidRDefault="00EC19F7" w:rsidP="00EC19F7">
      <w:pPr>
        <w:numPr>
          <w:ilvl w:val="12"/>
          <w:numId w:val="0"/>
        </w:numPr>
        <w:spacing w:line="240" w:lineRule="auto"/>
        <w:ind w:right="-2"/>
        <w:rPr>
          <w:szCs w:val="22"/>
          <w:lang w:val="sk-SK"/>
        </w:rPr>
      </w:pPr>
    </w:p>
    <w:p w:rsidR="001F4901" w:rsidRPr="007E2053" w:rsidRDefault="001F4901" w:rsidP="0029034C">
      <w:pPr>
        <w:keepNext/>
        <w:spacing w:line="240" w:lineRule="auto"/>
        <w:ind w:left="567" w:hanging="567"/>
        <w:outlineLvl w:val="0"/>
        <w:rPr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5.3</w:t>
      </w:r>
      <w:r w:rsidRPr="007E2053">
        <w:rPr>
          <w:b/>
          <w:noProof/>
          <w:szCs w:val="22"/>
          <w:lang w:val="sk-SK"/>
        </w:rPr>
        <w:tab/>
      </w:r>
      <w:r w:rsidR="007F0254" w:rsidRPr="007E2053">
        <w:rPr>
          <w:b/>
          <w:noProof/>
          <w:szCs w:val="22"/>
          <w:lang w:val="sk-SK"/>
        </w:rPr>
        <w:t>Predklinické údaje o bezpečnosti</w:t>
      </w:r>
    </w:p>
    <w:p w:rsidR="001F4901" w:rsidRPr="007E2053" w:rsidRDefault="001F4901" w:rsidP="0029034C">
      <w:pPr>
        <w:keepNext/>
        <w:spacing w:line="240" w:lineRule="auto"/>
        <w:rPr>
          <w:noProof/>
          <w:szCs w:val="22"/>
          <w:lang w:val="sk-SK"/>
        </w:rPr>
      </w:pPr>
    </w:p>
    <w:p w:rsidR="005662E6" w:rsidRPr="005662E6" w:rsidRDefault="005662E6" w:rsidP="005662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5662E6">
        <w:rPr>
          <w:rFonts w:eastAsia="SimSun"/>
          <w:color w:val="000000"/>
          <w:szCs w:val="22"/>
          <w:lang w:val="sk-SK" w:eastAsia="sk-SK"/>
        </w:rPr>
        <w:t>Cinakalcet nebol teratogénny pri králikoch, ak sa podával v dávkach vo výške 0,4-násobku (na základe hodnôt AUC) maximálnej dávky u ľudí pri sekundárnej HPT (180 mg denne). Neteratogénna dávka pri potkanoch bola vo výške 4,4-násobku (na základe ho</w:t>
      </w:r>
      <w:r w:rsidRPr="007E2053">
        <w:rPr>
          <w:rFonts w:eastAsia="SimSun"/>
          <w:color w:val="000000"/>
          <w:szCs w:val="22"/>
          <w:lang w:val="sk-SK" w:eastAsia="sk-SK"/>
        </w:rPr>
        <w:t>dnoty AUC) maximálnej dávky pri </w:t>
      </w:r>
      <w:r w:rsidRPr="005662E6">
        <w:rPr>
          <w:rFonts w:eastAsia="SimSun"/>
          <w:color w:val="000000"/>
          <w:szCs w:val="22"/>
          <w:lang w:val="sk-SK" w:eastAsia="sk-SK"/>
        </w:rPr>
        <w:t>sekundárnej HPT. Nezistili sa žiadne účinky na fertilitu u</w:t>
      </w:r>
      <w:r w:rsidRPr="007E2053">
        <w:rPr>
          <w:rFonts w:eastAsia="SimSun"/>
          <w:color w:val="000000"/>
          <w:szCs w:val="22"/>
          <w:lang w:val="sk-SK" w:eastAsia="sk-SK"/>
        </w:rPr>
        <w:t> </w:t>
      </w:r>
      <w:r w:rsidRPr="005662E6">
        <w:rPr>
          <w:rFonts w:eastAsia="SimSun"/>
          <w:color w:val="000000"/>
          <w:szCs w:val="22"/>
          <w:lang w:val="sk-SK" w:eastAsia="sk-SK"/>
        </w:rPr>
        <w:t>samcov</w:t>
      </w:r>
      <w:r w:rsidRPr="007E2053">
        <w:rPr>
          <w:rFonts w:eastAsia="SimSun"/>
          <w:color w:val="000000"/>
          <w:szCs w:val="22"/>
          <w:lang w:val="sk-SK" w:eastAsia="sk-SK"/>
        </w:rPr>
        <w:t>,</w:t>
      </w:r>
      <w:r w:rsidRPr="005662E6">
        <w:rPr>
          <w:rFonts w:eastAsia="SimSun"/>
          <w:color w:val="000000"/>
          <w:szCs w:val="22"/>
          <w:lang w:val="sk-SK" w:eastAsia="sk-SK"/>
        </w:rPr>
        <w:t xml:space="preserve"> ani samíc po expozícii maximálne 4-násobku ľudskej dávky 180 mg/deň (bezpečná hranica u malej skupiny pacientov, ktorým sa podávala maximálna klinická dávka 360 mg denne, predstavuje približne polovicu dávky uvedenej vyššie). </w:t>
      </w:r>
    </w:p>
    <w:p w:rsidR="005662E6" w:rsidRPr="007E2053" w:rsidRDefault="005662E6" w:rsidP="005662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5662E6" w:rsidRPr="005662E6" w:rsidRDefault="005662E6" w:rsidP="005662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5662E6">
        <w:rPr>
          <w:rFonts w:eastAsia="SimSun"/>
          <w:color w:val="000000"/>
          <w:szCs w:val="22"/>
          <w:lang w:val="sk-SK" w:eastAsia="sk-SK"/>
        </w:rPr>
        <w:t>Pri gravidných potkanoch sa pri najvyššej dávke zaznamenalo miern</w:t>
      </w:r>
      <w:r w:rsidRPr="007E2053">
        <w:rPr>
          <w:rFonts w:eastAsia="SimSun"/>
          <w:color w:val="000000"/>
          <w:szCs w:val="22"/>
          <w:lang w:val="sk-SK" w:eastAsia="sk-SK"/>
        </w:rPr>
        <w:t>e zníženie telesnej hmotnosti a </w:t>
      </w:r>
      <w:r w:rsidRPr="005662E6">
        <w:rPr>
          <w:rFonts w:eastAsia="SimSun"/>
          <w:color w:val="000000"/>
          <w:szCs w:val="22"/>
          <w:lang w:val="sk-SK" w:eastAsia="sk-SK"/>
        </w:rPr>
        <w:t xml:space="preserve">príjmu potravy. Zníženie hmotnosti plodu sa pozorovalo na potkanoch pri dávkach, ktoré matkám spôsobovali závažnú hypokalciémiu. Cinakalcet prestupoval placentárnou bariérou pri králikoch. </w:t>
      </w:r>
    </w:p>
    <w:p w:rsidR="005662E6" w:rsidRPr="007E2053" w:rsidRDefault="005662E6" w:rsidP="005662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5662E6" w:rsidRPr="005662E6" w:rsidRDefault="005662E6" w:rsidP="005662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5662E6">
        <w:rPr>
          <w:rFonts w:eastAsia="SimSun"/>
          <w:color w:val="000000"/>
          <w:szCs w:val="22"/>
          <w:lang w:val="sk-SK" w:eastAsia="sk-SK"/>
        </w:rPr>
        <w:t>Cinakalcet nevykazoval žiaden genotoxický</w:t>
      </w:r>
      <w:r w:rsidRPr="007E2053">
        <w:rPr>
          <w:rFonts w:eastAsia="SimSun"/>
          <w:color w:val="000000"/>
          <w:szCs w:val="22"/>
          <w:lang w:val="sk-SK" w:eastAsia="sk-SK"/>
        </w:rPr>
        <w:t>,</w:t>
      </w:r>
      <w:r w:rsidRPr="005662E6">
        <w:rPr>
          <w:rFonts w:eastAsia="SimSun"/>
          <w:color w:val="000000"/>
          <w:szCs w:val="22"/>
          <w:lang w:val="sk-SK" w:eastAsia="sk-SK"/>
        </w:rPr>
        <w:t xml:space="preserve"> ani karcinogénny potenciál. Z toxikologických štúdií sú hranice bezpečnosti malé v dôsledku dávku limitujúcej hypokalciémie pozorovanej na zvieracích modeloch. V štúdiách zameraných na vplyv opakovaných dávok n</w:t>
      </w:r>
      <w:r w:rsidRPr="007E2053">
        <w:rPr>
          <w:rFonts w:eastAsia="SimSun"/>
          <w:color w:val="000000"/>
          <w:szCs w:val="22"/>
          <w:lang w:val="sk-SK" w:eastAsia="sk-SK"/>
        </w:rPr>
        <w:t>a toxicitu a karcinogenicitu na </w:t>
      </w:r>
      <w:r w:rsidRPr="005662E6">
        <w:rPr>
          <w:rFonts w:eastAsia="SimSun"/>
          <w:color w:val="000000"/>
          <w:szCs w:val="22"/>
          <w:lang w:val="sk-SK" w:eastAsia="sk-SK"/>
        </w:rPr>
        <w:t>hlodavcoch bol pozorovaný výskyt katarákt a šošovkových opacít. Tento jav však nebol zaznamenaný v štúdiách so psami</w:t>
      </w:r>
      <w:r w:rsidRPr="007E2053">
        <w:rPr>
          <w:rFonts w:eastAsia="SimSun"/>
          <w:color w:val="000000"/>
          <w:szCs w:val="22"/>
          <w:lang w:val="sk-SK" w:eastAsia="sk-SK"/>
        </w:rPr>
        <w:t>,</w:t>
      </w:r>
      <w:r w:rsidRPr="005662E6">
        <w:rPr>
          <w:rFonts w:eastAsia="SimSun"/>
          <w:color w:val="000000"/>
          <w:szCs w:val="22"/>
          <w:lang w:val="sk-SK" w:eastAsia="sk-SK"/>
        </w:rPr>
        <w:t xml:space="preserve"> ani s</w:t>
      </w:r>
      <w:r w:rsidRPr="007E2053">
        <w:rPr>
          <w:rFonts w:eastAsia="SimSun"/>
          <w:color w:val="000000"/>
          <w:szCs w:val="22"/>
          <w:lang w:val="sk-SK" w:eastAsia="sk-SK"/>
        </w:rPr>
        <w:t> </w:t>
      </w:r>
      <w:r w:rsidRPr="005662E6">
        <w:rPr>
          <w:rFonts w:eastAsia="SimSun"/>
          <w:color w:val="000000"/>
          <w:szCs w:val="22"/>
          <w:lang w:val="sk-SK" w:eastAsia="sk-SK"/>
        </w:rPr>
        <w:t>opicami</w:t>
      </w:r>
      <w:r w:rsidRPr="007E2053">
        <w:rPr>
          <w:rFonts w:eastAsia="SimSun"/>
          <w:color w:val="000000"/>
          <w:szCs w:val="22"/>
          <w:lang w:val="sk-SK" w:eastAsia="sk-SK"/>
        </w:rPr>
        <w:t>,</w:t>
      </w:r>
      <w:r w:rsidRPr="005662E6">
        <w:rPr>
          <w:rFonts w:eastAsia="SimSun"/>
          <w:color w:val="000000"/>
          <w:szCs w:val="22"/>
          <w:lang w:val="sk-SK" w:eastAsia="sk-SK"/>
        </w:rPr>
        <w:t xml:space="preserve"> a ani v klinických štúdiách, v ktorých sa sledoval vznik katarákt. Známy je výskyt katarákt pri hlodavcoch v dôsledku hypokalciémie. </w:t>
      </w:r>
    </w:p>
    <w:p w:rsidR="005662E6" w:rsidRPr="007E2053" w:rsidRDefault="005662E6" w:rsidP="005662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5662E6" w:rsidRPr="005662E6" w:rsidRDefault="005662E6" w:rsidP="005662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5662E6">
        <w:rPr>
          <w:rFonts w:eastAsia="SimSun"/>
          <w:color w:val="000000"/>
          <w:szCs w:val="22"/>
          <w:lang w:val="sk-SK" w:eastAsia="sk-SK"/>
        </w:rPr>
        <w:t xml:space="preserve">V štúdiách </w:t>
      </w:r>
      <w:r w:rsidRPr="005662E6">
        <w:rPr>
          <w:rFonts w:eastAsia="SimSun"/>
          <w:i/>
          <w:iCs/>
          <w:color w:val="000000"/>
          <w:szCs w:val="22"/>
          <w:lang w:val="sk-SK" w:eastAsia="sk-SK"/>
        </w:rPr>
        <w:t xml:space="preserve">in vitro </w:t>
      </w:r>
      <w:r w:rsidRPr="005662E6">
        <w:rPr>
          <w:rFonts w:eastAsia="SimSun"/>
          <w:color w:val="000000"/>
          <w:szCs w:val="22"/>
          <w:lang w:val="sk-SK" w:eastAsia="sk-SK"/>
        </w:rPr>
        <w:t>boli zistené hodnoty IC</w:t>
      </w:r>
      <w:r w:rsidRPr="005662E6">
        <w:rPr>
          <w:rFonts w:eastAsia="SimSun"/>
          <w:color w:val="000000"/>
          <w:sz w:val="14"/>
          <w:szCs w:val="14"/>
          <w:lang w:val="sk-SK" w:eastAsia="sk-SK"/>
        </w:rPr>
        <w:t xml:space="preserve">50 </w:t>
      </w:r>
      <w:r w:rsidRPr="005662E6">
        <w:rPr>
          <w:rFonts w:eastAsia="SimSun"/>
          <w:color w:val="000000"/>
          <w:szCs w:val="22"/>
          <w:lang w:val="sk-SK" w:eastAsia="sk-SK"/>
        </w:rPr>
        <w:t>pre nosič sérotonínu 7-krát vyššie a pre K</w:t>
      </w:r>
      <w:r w:rsidRPr="005662E6">
        <w:rPr>
          <w:rFonts w:eastAsia="SimSun"/>
          <w:color w:val="000000"/>
          <w:sz w:val="14"/>
          <w:szCs w:val="14"/>
          <w:lang w:val="sk-SK" w:eastAsia="sk-SK"/>
        </w:rPr>
        <w:t xml:space="preserve">ATP </w:t>
      </w:r>
      <w:r w:rsidRPr="005662E6">
        <w:rPr>
          <w:rFonts w:eastAsia="SimSun"/>
          <w:color w:val="000000"/>
          <w:szCs w:val="22"/>
          <w:lang w:val="sk-SK" w:eastAsia="sk-SK"/>
        </w:rPr>
        <w:t>kanály 12-krát vyššie ako hodnota EC</w:t>
      </w:r>
      <w:r w:rsidRPr="005662E6">
        <w:rPr>
          <w:rFonts w:eastAsia="SimSun"/>
          <w:color w:val="000000"/>
          <w:sz w:val="14"/>
          <w:szCs w:val="14"/>
          <w:lang w:val="sk-SK" w:eastAsia="sk-SK"/>
        </w:rPr>
        <w:t xml:space="preserve">50 </w:t>
      </w:r>
      <w:r w:rsidRPr="005662E6">
        <w:rPr>
          <w:rFonts w:eastAsia="SimSun"/>
          <w:color w:val="000000"/>
          <w:szCs w:val="22"/>
          <w:lang w:val="sk-SK" w:eastAsia="sk-SK"/>
        </w:rPr>
        <w:t xml:space="preserve">pre receptor citlivý na vápnik získaná za rovnakých experimentálnych podmienok. Klinický význam nie je známy, avšak možnosť účinku cinakalcetu na tieto sekundárne ciele nemožno celkom vylúčiť. </w:t>
      </w:r>
    </w:p>
    <w:p w:rsidR="005662E6" w:rsidRPr="007E2053" w:rsidRDefault="005662E6" w:rsidP="005662E6">
      <w:pPr>
        <w:spacing w:line="240" w:lineRule="auto"/>
        <w:rPr>
          <w:rFonts w:eastAsia="SimSun"/>
          <w:color w:val="000000"/>
          <w:szCs w:val="22"/>
          <w:lang w:val="sk-SK" w:eastAsia="sk-SK"/>
        </w:rPr>
      </w:pPr>
    </w:p>
    <w:p w:rsidR="000E30E4" w:rsidRPr="007E2053" w:rsidRDefault="005662E6" w:rsidP="005662E6">
      <w:pPr>
        <w:spacing w:line="240" w:lineRule="auto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>V toxikologických štúdiách s mladými psami bol pozorovaný tremor následne po znížení sérového vápnika, eméza, znížená telesná hmotnosť a zvýšenie telesnej hmotnosti, znížený počet erytrocytov,</w:t>
      </w:r>
    </w:p>
    <w:p w:rsidR="005662E6" w:rsidRPr="007E2053" w:rsidRDefault="005662E6" w:rsidP="005662E6">
      <w:pPr>
        <w:spacing w:line="240" w:lineRule="auto"/>
        <w:rPr>
          <w:rFonts w:ascii="TimesNewRoman" w:eastAsia="TimesNewRoman" w:cs="TimesNewRoman"/>
          <w:szCs w:val="22"/>
          <w:lang w:val="sk-SK" w:eastAsia="sk-SK"/>
        </w:rPr>
      </w:pPr>
      <w:r w:rsidRPr="007E2053">
        <w:rPr>
          <w:szCs w:val="22"/>
          <w:lang w:val="sk-SK"/>
        </w:rPr>
        <w:t>mierny pokles v parametroch kostnej denzitometrie, reverzibilné rozšírenie rastových platničiek dlhých kostí a histologické lymfoidné zmeny (obmedzené na hrudnú dutinu a pripisované chronickému vracaniu). Všetky tieto účinky sa pozorovali na základe hodnôt AUC pri systémovej expozícii, rovnajúcej sa približne expozícii u pacientov na maximálnej dávke na liečbu sekundárnej HPT.</w:t>
      </w:r>
    </w:p>
    <w:p w:rsidR="00B650A1" w:rsidRPr="007E2053" w:rsidRDefault="00B650A1" w:rsidP="00B650A1">
      <w:pPr>
        <w:spacing w:line="240" w:lineRule="auto"/>
        <w:rPr>
          <w:szCs w:val="22"/>
          <w:lang w:val="sk-SK"/>
        </w:rPr>
      </w:pPr>
    </w:p>
    <w:p w:rsidR="005662E6" w:rsidRPr="007E2053" w:rsidRDefault="005662E6" w:rsidP="00B650A1">
      <w:pPr>
        <w:spacing w:line="240" w:lineRule="auto"/>
        <w:rPr>
          <w:szCs w:val="22"/>
          <w:lang w:val="sk-SK"/>
        </w:rPr>
      </w:pPr>
    </w:p>
    <w:p w:rsidR="001F4901" w:rsidRPr="007E2053" w:rsidRDefault="001F4901" w:rsidP="00C525D0">
      <w:pPr>
        <w:pStyle w:val="Nadpis1"/>
        <w:rPr>
          <w:lang w:val="sk-SK"/>
        </w:rPr>
      </w:pPr>
      <w:r w:rsidRPr="007E2053">
        <w:rPr>
          <w:lang w:val="sk-SK"/>
        </w:rPr>
        <w:lastRenderedPageBreak/>
        <w:t>6.</w:t>
      </w:r>
      <w:r w:rsidRPr="007E2053">
        <w:rPr>
          <w:lang w:val="sk-SK"/>
        </w:rPr>
        <w:tab/>
      </w:r>
      <w:r w:rsidR="0033091F" w:rsidRPr="007E2053">
        <w:rPr>
          <w:lang w:val="sk-SK"/>
        </w:rPr>
        <w:t>FARMACEUTICKÉ INFORMÁCIE</w:t>
      </w:r>
    </w:p>
    <w:p w:rsidR="001F4901" w:rsidRPr="007E2053" w:rsidRDefault="001F4901" w:rsidP="0029034C">
      <w:pPr>
        <w:keepNext/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29034C">
      <w:pPr>
        <w:keepNext/>
        <w:spacing w:line="240" w:lineRule="auto"/>
        <w:ind w:left="567" w:hanging="567"/>
        <w:outlineLvl w:val="0"/>
        <w:rPr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6.1</w:t>
      </w:r>
      <w:r w:rsidRPr="007E2053">
        <w:rPr>
          <w:b/>
          <w:noProof/>
          <w:szCs w:val="22"/>
          <w:lang w:val="sk-SK"/>
        </w:rPr>
        <w:tab/>
      </w:r>
      <w:r w:rsidR="0033091F" w:rsidRPr="007E2053">
        <w:rPr>
          <w:b/>
          <w:noProof/>
          <w:szCs w:val="22"/>
          <w:lang w:val="sk-SK"/>
        </w:rPr>
        <w:t>Zoznam pomocných látok</w:t>
      </w:r>
    </w:p>
    <w:p w:rsidR="00DA6ABF" w:rsidRDefault="00DA6ABF" w:rsidP="00DA6ABF">
      <w:pPr>
        <w:autoSpaceDE w:val="0"/>
        <w:autoSpaceDN w:val="0"/>
        <w:adjustRightInd w:val="0"/>
        <w:spacing w:after="21"/>
        <w:rPr>
          <w:rFonts w:eastAsia="SimSun"/>
          <w:i/>
          <w:iCs/>
          <w:color w:val="000000"/>
          <w:szCs w:val="22"/>
          <w:lang w:val="sk-SK" w:eastAsia="sk-SK"/>
        </w:rPr>
      </w:pPr>
    </w:p>
    <w:p w:rsidR="00DA6ABF" w:rsidRPr="00286A64" w:rsidRDefault="00DA6ABF" w:rsidP="00DA6ABF">
      <w:pPr>
        <w:autoSpaceDE w:val="0"/>
        <w:autoSpaceDN w:val="0"/>
        <w:adjustRightInd w:val="0"/>
        <w:spacing w:after="21"/>
        <w:rPr>
          <w:rFonts w:eastAsia="Calibri"/>
          <w:color w:val="000000"/>
          <w:szCs w:val="22"/>
          <w:u w:val="single"/>
          <w:lang w:val="sk-SK"/>
        </w:rPr>
      </w:pPr>
      <w:r w:rsidRPr="00286A64">
        <w:rPr>
          <w:rFonts w:eastAsia="Calibri"/>
          <w:color w:val="000000"/>
          <w:szCs w:val="22"/>
          <w:u w:val="single"/>
          <w:lang w:val="sk-SK"/>
        </w:rPr>
        <w:t>Jadro tablety:</w:t>
      </w:r>
    </w:p>
    <w:p w:rsid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1"/>
        <w:ind w:left="284" w:hanging="284"/>
        <w:rPr>
          <w:rFonts w:eastAsia="Calibri"/>
          <w:color w:val="000000"/>
          <w:szCs w:val="22"/>
        </w:rPr>
      </w:pPr>
      <w:r w:rsidRPr="00C95FC9">
        <w:rPr>
          <w:rFonts w:eastAsia="Calibri"/>
          <w:color w:val="000000"/>
          <w:szCs w:val="22"/>
        </w:rPr>
        <w:t>škrob</w:t>
      </w:r>
      <w:r w:rsidR="009009BC">
        <w:rPr>
          <w:rFonts w:eastAsia="Calibri"/>
          <w:color w:val="000000"/>
          <w:szCs w:val="22"/>
        </w:rPr>
        <w:t>,</w:t>
      </w:r>
      <w:r w:rsidR="009009BC" w:rsidRPr="009009BC">
        <w:rPr>
          <w:rFonts w:eastAsia="Calibri"/>
          <w:color w:val="000000"/>
          <w:szCs w:val="22"/>
        </w:rPr>
        <w:t xml:space="preserve"> </w:t>
      </w:r>
      <w:r w:rsidR="009009BC" w:rsidRPr="00C95FC9">
        <w:rPr>
          <w:rFonts w:eastAsia="Calibri"/>
          <w:color w:val="000000"/>
          <w:szCs w:val="22"/>
        </w:rPr>
        <w:t>predželatinovaný kukuričný</w:t>
      </w:r>
    </w:p>
    <w:p w:rsid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1"/>
        <w:ind w:left="284" w:hanging="284"/>
        <w:rPr>
          <w:rFonts w:eastAsia="Calibri"/>
          <w:color w:val="000000"/>
          <w:szCs w:val="22"/>
        </w:rPr>
      </w:pPr>
      <w:r w:rsidRPr="00DA6ABF">
        <w:rPr>
          <w:rFonts w:eastAsia="Calibri"/>
          <w:color w:val="000000"/>
          <w:szCs w:val="22"/>
        </w:rPr>
        <w:t>povidón</w:t>
      </w:r>
      <w:r w:rsidRPr="00DA6ABF">
        <w:rPr>
          <w:rFonts w:eastAsia="Calibri"/>
          <w:szCs w:val="22"/>
        </w:rPr>
        <w:t xml:space="preserve"> K-30 (E1201)</w:t>
      </w:r>
      <w:r w:rsidRPr="00DA6ABF">
        <w:rPr>
          <w:rFonts w:eastAsia="Calibri"/>
          <w:color w:val="000000"/>
          <w:szCs w:val="22"/>
        </w:rPr>
        <w:t xml:space="preserve"> </w:t>
      </w:r>
    </w:p>
    <w:p w:rsid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1"/>
        <w:ind w:left="284" w:hanging="284"/>
        <w:rPr>
          <w:rFonts w:eastAsia="Calibri"/>
          <w:color w:val="000000"/>
          <w:szCs w:val="22"/>
        </w:rPr>
      </w:pPr>
      <w:r w:rsidRPr="00DA6ABF">
        <w:rPr>
          <w:rFonts w:eastAsia="Calibri"/>
          <w:color w:val="000000"/>
          <w:szCs w:val="22"/>
        </w:rPr>
        <w:t xml:space="preserve">krospovidón Typ A </w:t>
      </w:r>
      <w:r w:rsidRPr="00DA6ABF">
        <w:rPr>
          <w:rFonts w:eastAsia="Calibri"/>
          <w:szCs w:val="22"/>
        </w:rPr>
        <w:t>(E1202)</w:t>
      </w:r>
    </w:p>
    <w:p w:rsid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1"/>
        <w:ind w:left="284" w:hanging="284"/>
        <w:rPr>
          <w:rFonts w:eastAsia="Calibri"/>
          <w:color w:val="000000"/>
          <w:szCs w:val="22"/>
        </w:rPr>
      </w:pPr>
      <w:r w:rsidRPr="00DA6ABF">
        <w:rPr>
          <w:rFonts w:eastAsia="Calibri"/>
          <w:color w:val="000000"/>
          <w:szCs w:val="22"/>
        </w:rPr>
        <w:t>oxid kremičitý</w:t>
      </w:r>
      <w:r w:rsidR="009009BC">
        <w:rPr>
          <w:rFonts w:eastAsia="Calibri"/>
          <w:color w:val="000000"/>
          <w:szCs w:val="22"/>
        </w:rPr>
        <w:t>,</w:t>
      </w:r>
      <w:r w:rsidR="009009BC" w:rsidRPr="009009BC">
        <w:rPr>
          <w:rFonts w:eastAsia="Calibri"/>
          <w:color w:val="000000"/>
          <w:szCs w:val="22"/>
        </w:rPr>
        <w:t xml:space="preserve"> </w:t>
      </w:r>
      <w:r w:rsidR="009009BC" w:rsidRPr="00DA6ABF">
        <w:rPr>
          <w:rFonts w:eastAsia="Calibri"/>
          <w:color w:val="000000"/>
          <w:szCs w:val="22"/>
        </w:rPr>
        <w:t>bezvodý koloidný</w:t>
      </w:r>
    </w:p>
    <w:p w:rsidR="00DA6ABF" w:rsidRP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1"/>
        <w:ind w:left="284" w:hanging="284"/>
        <w:rPr>
          <w:rFonts w:eastAsia="Calibri"/>
          <w:color w:val="000000"/>
          <w:szCs w:val="22"/>
        </w:rPr>
      </w:pPr>
      <w:r w:rsidRPr="00DA6ABF">
        <w:rPr>
          <w:rFonts w:eastAsia="Calibri"/>
          <w:color w:val="000000"/>
          <w:szCs w:val="22"/>
        </w:rPr>
        <w:t>stearát</w:t>
      </w:r>
      <w:r w:rsidR="009009BC">
        <w:rPr>
          <w:rFonts w:eastAsia="Calibri"/>
          <w:color w:val="000000"/>
          <w:szCs w:val="22"/>
        </w:rPr>
        <w:t xml:space="preserve"> horečnatý</w:t>
      </w:r>
      <w:r w:rsidRPr="00DA6ABF">
        <w:rPr>
          <w:rFonts w:eastAsia="Calibri"/>
          <w:color w:val="000000"/>
          <w:szCs w:val="22"/>
        </w:rPr>
        <w:t xml:space="preserve"> (E572)</w:t>
      </w:r>
    </w:p>
    <w:p w:rsidR="00DA6ABF" w:rsidRPr="00C95FC9" w:rsidRDefault="00DA6ABF" w:rsidP="00DA6ABF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</w:p>
    <w:p w:rsidR="00DA6ABF" w:rsidRDefault="00DA6ABF" w:rsidP="00DA6ABF">
      <w:pPr>
        <w:autoSpaceDE w:val="0"/>
        <w:autoSpaceDN w:val="0"/>
        <w:adjustRightInd w:val="0"/>
        <w:spacing w:after="23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  <w:u w:val="single"/>
        </w:rPr>
        <w:t>Filmotvorná vrstva</w:t>
      </w:r>
      <w:r w:rsidRPr="002F7E38">
        <w:rPr>
          <w:rFonts w:eastAsia="Calibri"/>
          <w:color w:val="000000"/>
          <w:szCs w:val="22"/>
          <w:u w:val="single"/>
        </w:rPr>
        <w:t>:</w:t>
      </w:r>
    </w:p>
    <w:p w:rsid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3"/>
        <w:ind w:left="284" w:hanging="284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hypromelóza 15 (E464)</w:t>
      </w:r>
    </w:p>
    <w:p w:rsidR="00DA6ABF" w:rsidRDefault="009009BC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3"/>
        <w:ind w:left="284" w:hanging="284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l</w:t>
      </w:r>
      <w:r w:rsidR="00DA6ABF" w:rsidRPr="00DA6ABF">
        <w:rPr>
          <w:rFonts w:eastAsia="Calibri"/>
          <w:color w:val="000000"/>
          <w:szCs w:val="22"/>
        </w:rPr>
        <w:t>aktóz</w:t>
      </w:r>
      <w:r>
        <w:rPr>
          <w:rFonts w:eastAsia="Calibri"/>
          <w:color w:val="000000"/>
          <w:szCs w:val="22"/>
        </w:rPr>
        <w:t>a, monohydrát</w:t>
      </w:r>
    </w:p>
    <w:p w:rsid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3"/>
        <w:ind w:left="284" w:hanging="284"/>
        <w:rPr>
          <w:rFonts w:eastAsia="Calibri"/>
          <w:color w:val="000000"/>
          <w:szCs w:val="22"/>
        </w:rPr>
      </w:pPr>
      <w:r w:rsidRPr="00DA6ABF">
        <w:rPr>
          <w:rFonts w:eastAsia="Calibri"/>
          <w:color w:val="000000"/>
          <w:szCs w:val="22"/>
        </w:rPr>
        <w:t>triacetín (E1518)</w:t>
      </w:r>
    </w:p>
    <w:p w:rsid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3"/>
        <w:ind w:left="284" w:hanging="284"/>
        <w:rPr>
          <w:rFonts w:eastAsia="Calibri"/>
          <w:color w:val="000000"/>
          <w:szCs w:val="22"/>
        </w:rPr>
      </w:pPr>
      <w:r w:rsidRPr="00DA6ABF">
        <w:rPr>
          <w:rFonts w:eastAsia="Calibri"/>
          <w:color w:val="000000"/>
          <w:szCs w:val="22"/>
        </w:rPr>
        <w:t>oxid titaničitý (E171)</w:t>
      </w:r>
    </w:p>
    <w:p w:rsid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3"/>
        <w:ind w:left="284" w:hanging="284"/>
        <w:rPr>
          <w:rFonts w:eastAsia="Calibri"/>
          <w:color w:val="000000"/>
          <w:szCs w:val="22"/>
        </w:rPr>
      </w:pPr>
      <w:r w:rsidRPr="00DA6ABF">
        <w:rPr>
          <w:rFonts w:eastAsia="Calibri"/>
          <w:color w:val="000000"/>
          <w:szCs w:val="22"/>
        </w:rPr>
        <w:t>žltý oxid železitý (E172)</w:t>
      </w:r>
    </w:p>
    <w:p w:rsidR="00DA6ABF" w:rsidRPr="00DA6ABF" w:rsidRDefault="00DA6ABF" w:rsidP="00DA6ABF">
      <w:pPr>
        <w:numPr>
          <w:ilvl w:val="0"/>
          <w:numId w:val="28"/>
        </w:numPr>
        <w:tabs>
          <w:tab w:val="clear" w:pos="567"/>
          <w:tab w:val="left" w:pos="284"/>
        </w:tabs>
        <w:autoSpaceDE w:val="0"/>
        <w:autoSpaceDN w:val="0"/>
        <w:adjustRightInd w:val="0"/>
        <w:spacing w:after="23"/>
        <w:ind w:left="284" w:hanging="284"/>
        <w:rPr>
          <w:rFonts w:eastAsia="Calibri"/>
          <w:color w:val="000000"/>
          <w:szCs w:val="22"/>
        </w:rPr>
      </w:pPr>
      <w:r w:rsidRPr="00DA6ABF">
        <w:rPr>
          <w:rFonts w:eastAsia="Calibri"/>
          <w:color w:val="000000"/>
          <w:szCs w:val="22"/>
        </w:rPr>
        <w:t>indigokarmín (E132)</w:t>
      </w:r>
    </w:p>
    <w:p w:rsidR="00FD6918" w:rsidRPr="007E2053" w:rsidRDefault="00FD6918" w:rsidP="00D81A9D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29034C">
      <w:pPr>
        <w:spacing w:line="240" w:lineRule="auto"/>
        <w:ind w:left="567" w:hanging="567"/>
        <w:outlineLvl w:val="0"/>
        <w:rPr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6.2</w:t>
      </w:r>
      <w:r w:rsidRPr="007E2053">
        <w:rPr>
          <w:b/>
          <w:noProof/>
          <w:szCs w:val="22"/>
          <w:lang w:val="sk-SK"/>
        </w:rPr>
        <w:tab/>
      </w:r>
      <w:r w:rsidR="001F376E" w:rsidRPr="007E2053">
        <w:rPr>
          <w:b/>
          <w:noProof/>
          <w:szCs w:val="22"/>
          <w:lang w:val="sk-SK"/>
        </w:rPr>
        <w:t>Inkompatibility</w:t>
      </w:r>
    </w:p>
    <w:p w:rsidR="001F4901" w:rsidRPr="007E2053" w:rsidRDefault="001F4901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376E" w:rsidP="0029034C">
      <w:pPr>
        <w:spacing w:line="240" w:lineRule="auto"/>
        <w:rPr>
          <w:noProof/>
          <w:szCs w:val="22"/>
          <w:lang w:val="sk-SK"/>
        </w:rPr>
      </w:pPr>
      <w:r w:rsidRPr="007E2053">
        <w:rPr>
          <w:noProof/>
          <w:szCs w:val="22"/>
          <w:lang w:val="sk-SK"/>
        </w:rPr>
        <w:t>Neaplikovateľné.</w:t>
      </w:r>
    </w:p>
    <w:p w:rsidR="001F4901" w:rsidRPr="007E2053" w:rsidRDefault="001F4901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29034C">
      <w:pPr>
        <w:spacing w:line="240" w:lineRule="auto"/>
        <w:ind w:left="567" w:hanging="567"/>
        <w:outlineLvl w:val="0"/>
        <w:rPr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6.3</w:t>
      </w:r>
      <w:r w:rsidRPr="007E2053">
        <w:rPr>
          <w:b/>
          <w:noProof/>
          <w:szCs w:val="22"/>
          <w:lang w:val="sk-SK"/>
        </w:rPr>
        <w:tab/>
      </w:r>
      <w:r w:rsidR="001F376E" w:rsidRPr="007E2053">
        <w:rPr>
          <w:b/>
          <w:noProof/>
          <w:szCs w:val="22"/>
          <w:lang w:val="sk-SK"/>
        </w:rPr>
        <w:t>Čas použiteľnosti</w:t>
      </w:r>
    </w:p>
    <w:p w:rsidR="001F4901" w:rsidRPr="007E2053" w:rsidRDefault="001F4901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DC49E6" w:rsidP="004D4A89">
      <w:pPr>
        <w:spacing w:line="240" w:lineRule="auto"/>
        <w:rPr>
          <w:rFonts w:eastAsia="SimSun"/>
          <w:color w:val="000000"/>
          <w:szCs w:val="22"/>
          <w:lang w:val="sk-SK" w:eastAsia="sk-SK"/>
        </w:rPr>
      </w:pPr>
      <w:r>
        <w:rPr>
          <w:rFonts w:eastAsia="SimSun"/>
          <w:color w:val="000000"/>
          <w:szCs w:val="22"/>
          <w:lang w:val="sk-SK" w:eastAsia="sk-SK"/>
        </w:rPr>
        <w:t>5 rokov.</w:t>
      </w:r>
    </w:p>
    <w:p w:rsidR="004D4A89" w:rsidRPr="007E2053" w:rsidRDefault="004D4A89" w:rsidP="004D4A89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29034C">
      <w:pPr>
        <w:spacing w:line="240" w:lineRule="auto"/>
        <w:ind w:left="567" w:hanging="567"/>
        <w:outlineLvl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6.4</w:t>
      </w:r>
      <w:r w:rsidRPr="007E2053">
        <w:rPr>
          <w:b/>
          <w:noProof/>
          <w:szCs w:val="22"/>
          <w:lang w:val="sk-SK"/>
        </w:rPr>
        <w:tab/>
      </w:r>
      <w:r w:rsidR="00DB6649" w:rsidRPr="007E2053">
        <w:rPr>
          <w:b/>
          <w:noProof/>
          <w:szCs w:val="22"/>
          <w:lang w:val="sk-SK"/>
        </w:rPr>
        <w:t>Špeciálne upozornenia na uchovávanie</w:t>
      </w:r>
    </w:p>
    <w:p w:rsidR="008E360A" w:rsidRPr="007E2053" w:rsidRDefault="008E360A" w:rsidP="0029034C">
      <w:pPr>
        <w:spacing w:line="240" w:lineRule="auto"/>
        <w:rPr>
          <w:noProof/>
          <w:szCs w:val="22"/>
          <w:lang w:val="sk-SK"/>
        </w:rPr>
      </w:pPr>
    </w:p>
    <w:p w:rsidR="003F4321" w:rsidRPr="007E2053" w:rsidRDefault="004D6924" w:rsidP="0029034C">
      <w:pPr>
        <w:spacing w:line="240" w:lineRule="auto"/>
        <w:rPr>
          <w:szCs w:val="22"/>
          <w:lang w:val="sk-SK"/>
        </w:rPr>
      </w:pPr>
      <w:r w:rsidRPr="00DA6ABF">
        <w:rPr>
          <w:szCs w:val="22"/>
          <w:lang w:val="sk-SK"/>
        </w:rPr>
        <w:t>Tento liek nevyžaduje žiadne zvláštne podmienky na uchovávanie.</w:t>
      </w:r>
    </w:p>
    <w:p w:rsidR="004D6924" w:rsidRPr="007E2053" w:rsidRDefault="004D6924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29034C">
      <w:pPr>
        <w:spacing w:line="240" w:lineRule="auto"/>
        <w:outlineLvl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6.5</w:t>
      </w:r>
      <w:r w:rsidRPr="007E2053">
        <w:rPr>
          <w:b/>
          <w:noProof/>
          <w:szCs w:val="22"/>
          <w:lang w:val="sk-SK"/>
        </w:rPr>
        <w:tab/>
      </w:r>
      <w:r w:rsidR="00DC4E0E" w:rsidRPr="007E2053">
        <w:rPr>
          <w:b/>
          <w:noProof/>
          <w:szCs w:val="22"/>
          <w:lang w:val="sk-SK"/>
        </w:rPr>
        <w:t>Druh obalu a </w:t>
      </w:r>
      <w:r w:rsidR="00DB6649" w:rsidRPr="007E2053">
        <w:rPr>
          <w:b/>
          <w:noProof/>
          <w:szCs w:val="22"/>
          <w:lang w:val="sk-SK"/>
        </w:rPr>
        <w:t>obsah balenia</w:t>
      </w:r>
    </w:p>
    <w:p w:rsidR="00EF7600" w:rsidRPr="007E2053" w:rsidRDefault="00EF7600" w:rsidP="0029034C">
      <w:pPr>
        <w:spacing w:line="240" w:lineRule="auto"/>
        <w:rPr>
          <w:rFonts w:eastAsia="Calibri"/>
          <w:color w:val="000000"/>
          <w:szCs w:val="22"/>
          <w:lang w:val="sk-SK"/>
        </w:rPr>
      </w:pPr>
    </w:p>
    <w:p w:rsidR="00DA6ABF" w:rsidRPr="00F41833" w:rsidRDefault="00DA6ABF" w:rsidP="00DA6ABF">
      <w:pPr>
        <w:pStyle w:val="Default"/>
        <w:rPr>
          <w:rFonts w:eastAsia="Calibri"/>
          <w:lang w:eastAsia="sk-SK"/>
        </w:rPr>
      </w:pPr>
      <w:bookmarkStart w:id="0" w:name="OLE_LINK1"/>
      <w:r w:rsidRPr="00F374BA">
        <w:rPr>
          <w:rFonts w:eastAsia="Calibri"/>
          <w:sz w:val="22"/>
          <w:szCs w:val="22"/>
        </w:rPr>
        <w:t>CINAMED je dostupný v</w:t>
      </w:r>
      <w:r>
        <w:rPr>
          <w:rFonts w:eastAsia="Calibri"/>
          <w:sz w:val="22"/>
          <w:szCs w:val="22"/>
        </w:rPr>
        <w:t> </w:t>
      </w:r>
      <w:r>
        <w:rPr>
          <w:rFonts w:eastAsia="Calibri"/>
          <w:sz w:val="23"/>
          <w:szCs w:val="23"/>
        </w:rPr>
        <w:t>Al</w:t>
      </w:r>
      <w:r w:rsidRPr="00286A64">
        <w:rPr>
          <w:rFonts w:eastAsia="Calibri"/>
          <w:sz w:val="23"/>
          <w:szCs w:val="23"/>
          <w:lang w:val="sk-SK"/>
        </w:rPr>
        <w:t>/</w:t>
      </w:r>
      <w:r w:rsidRPr="00F41833">
        <w:rPr>
          <w:rFonts w:eastAsia="Calibri"/>
          <w:sz w:val="23"/>
          <w:szCs w:val="23"/>
        </w:rPr>
        <w:t xml:space="preserve">PVC-PE-PVDC </w:t>
      </w:r>
      <w:r w:rsidR="00EA6072">
        <w:rPr>
          <w:rFonts w:eastAsia="Calibri"/>
          <w:sz w:val="22"/>
          <w:szCs w:val="22"/>
        </w:rPr>
        <w:t>blistroch s 30 mg alebo</w:t>
      </w:r>
      <w:r w:rsidRPr="00F374BA">
        <w:rPr>
          <w:rFonts w:eastAsia="Calibri"/>
          <w:sz w:val="22"/>
          <w:szCs w:val="22"/>
        </w:rPr>
        <w:t xml:space="preserve"> 60 mg filmom obalenými tabletami. Každé blistrové balenie obsahuje 14, 28 alebo 84 tabliet v škatuli. </w:t>
      </w:r>
    </w:p>
    <w:p w:rsidR="00DA6ABF" w:rsidRPr="00286A64" w:rsidRDefault="00DA6ABF" w:rsidP="00DA6ABF">
      <w:pPr>
        <w:autoSpaceDE w:val="0"/>
        <w:autoSpaceDN w:val="0"/>
        <w:adjustRightInd w:val="0"/>
        <w:rPr>
          <w:rFonts w:eastAsia="Calibri"/>
          <w:color w:val="000000"/>
          <w:szCs w:val="22"/>
          <w:lang w:val="sv-SE"/>
        </w:rPr>
      </w:pPr>
    </w:p>
    <w:p w:rsidR="00DA6ABF" w:rsidRPr="00286A64" w:rsidRDefault="00DA6ABF" w:rsidP="00DA6ABF">
      <w:pPr>
        <w:rPr>
          <w:szCs w:val="22"/>
          <w:lang w:val="sv-SE"/>
        </w:rPr>
      </w:pPr>
      <w:r w:rsidRPr="00286A64">
        <w:rPr>
          <w:rFonts w:eastAsia="Calibri"/>
          <w:color w:val="000000"/>
          <w:szCs w:val="22"/>
          <w:lang w:val="sv-SE"/>
        </w:rPr>
        <w:t xml:space="preserve">CINAMED je dostupný v bielej fľaši </w:t>
      </w:r>
      <w:r w:rsidRPr="00DA6ABF">
        <w:rPr>
          <w:rFonts w:eastAsia="SimSun"/>
          <w:color w:val="000000"/>
          <w:szCs w:val="22"/>
          <w:lang w:val="sk-SK" w:eastAsia="sk-SK"/>
        </w:rPr>
        <w:t>z polyetylénu s vysokou hustotou (HDPE) s detským bezpečnostným polypropylénovým uzáverom</w:t>
      </w:r>
      <w:r w:rsidRPr="00286A64">
        <w:rPr>
          <w:rFonts w:eastAsia="Calibri"/>
          <w:color w:val="000000"/>
          <w:szCs w:val="22"/>
          <w:lang w:val="sv-SE"/>
        </w:rPr>
        <w:t>, vloženej v škatuli. Každá fľaša obsahuje 30 tabliet.</w:t>
      </w:r>
    </w:p>
    <w:p w:rsidR="00DA6ABF" w:rsidRDefault="00DA6ABF" w:rsidP="004D69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eastAsia="SimSun"/>
          <w:color w:val="000000"/>
          <w:szCs w:val="22"/>
          <w:highlight w:val="yellow"/>
          <w:lang w:val="sk-SK" w:eastAsia="sk-SK"/>
        </w:rPr>
      </w:pPr>
    </w:p>
    <w:p w:rsidR="004D6924" w:rsidRPr="007E2053" w:rsidRDefault="004D6924" w:rsidP="004D6924">
      <w:pPr>
        <w:spacing w:line="240" w:lineRule="auto"/>
        <w:ind w:left="567" w:hanging="567"/>
        <w:outlineLvl w:val="0"/>
        <w:rPr>
          <w:rFonts w:eastAsia="SimSun"/>
          <w:color w:val="000000"/>
          <w:szCs w:val="22"/>
          <w:lang w:val="sk-SK" w:eastAsia="sk-SK"/>
        </w:rPr>
      </w:pPr>
      <w:r w:rsidRPr="007E2053">
        <w:rPr>
          <w:rFonts w:eastAsia="SimSun"/>
          <w:color w:val="000000"/>
          <w:szCs w:val="22"/>
          <w:lang w:val="sk-SK" w:eastAsia="sk-SK"/>
        </w:rPr>
        <w:t xml:space="preserve">Na trh nemusia byť uvedené všetky veľkosti balenia. </w:t>
      </w:r>
    </w:p>
    <w:p w:rsidR="004D6924" w:rsidRPr="007E2053" w:rsidRDefault="004D6924" w:rsidP="004D6924">
      <w:pPr>
        <w:spacing w:line="240" w:lineRule="auto"/>
        <w:ind w:left="567" w:hanging="567"/>
        <w:outlineLvl w:val="0"/>
        <w:rPr>
          <w:rFonts w:eastAsia="SimSun"/>
          <w:color w:val="000000"/>
          <w:szCs w:val="22"/>
          <w:lang w:val="sk-SK" w:eastAsia="sk-SK"/>
        </w:rPr>
      </w:pPr>
    </w:p>
    <w:p w:rsidR="001F4901" w:rsidRPr="007E2053" w:rsidRDefault="001F4901" w:rsidP="004D6924">
      <w:pPr>
        <w:spacing w:line="240" w:lineRule="auto"/>
        <w:ind w:left="567" w:hanging="567"/>
        <w:outlineLvl w:val="0"/>
        <w:rPr>
          <w:b/>
          <w:noProof/>
          <w:szCs w:val="22"/>
          <w:lang w:val="sk-SK"/>
        </w:rPr>
      </w:pPr>
      <w:r w:rsidRPr="007E2053">
        <w:rPr>
          <w:b/>
          <w:noProof/>
          <w:szCs w:val="22"/>
          <w:lang w:val="sk-SK"/>
        </w:rPr>
        <w:t>6.6</w:t>
      </w:r>
      <w:r w:rsidRPr="007E2053">
        <w:rPr>
          <w:b/>
          <w:noProof/>
          <w:szCs w:val="22"/>
          <w:lang w:val="sk-SK"/>
        </w:rPr>
        <w:tab/>
      </w:r>
      <w:r w:rsidR="00684229" w:rsidRPr="007E2053">
        <w:rPr>
          <w:b/>
          <w:noProof/>
          <w:szCs w:val="22"/>
          <w:lang w:val="sk-SK"/>
        </w:rPr>
        <w:t>Špeciálne opatrenia na likvidáciu</w:t>
      </w:r>
    </w:p>
    <w:p w:rsidR="00DA6ABF" w:rsidRDefault="00DA6ABF" w:rsidP="0029034C">
      <w:pPr>
        <w:spacing w:line="240" w:lineRule="auto"/>
        <w:rPr>
          <w:szCs w:val="22"/>
          <w:lang w:val="sk-SK"/>
        </w:rPr>
      </w:pPr>
    </w:p>
    <w:p w:rsidR="001F4901" w:rsidRPr="007E2053" w:rsidRDefault="004D6924" w:rsidP="0029034C">
      <w:pPr>
        <w:spacing w:line="240" w:lineRule="auto"/>
        <w:rPr>
          <w:szCs w:val="22"/>
          <w:lang w:val="sk-SK"/>
        </w:rPr>
      </w:pPr>
      <w:r w:rsidRPr="007E2053">
        <w:rPr>
          <w:szCs w:val="22"/>
          <w:lang w:val="sk-SK"/>
        </w:rPr>
        <w:t>Žiadne zvláštne požiadavky na likvidáciu.</w:t>
      </w:r>
    </w:p>
    <w:p w:rsidR="004D6924" w:rsidRPr="007E2053" w:rsidRDefault="004D6924" w:rsidP="0029034C">
      <w:pPr>
        <w:spacing w:line="240" w:lineRule="auto"/>
        <w:rPr>
          <w:i/>
          <w:noProof/>
          <w:szCs w:val="22"/>
          <w:lang w:val="sk-SK"/>
        </w:rPr>
      </w:pPr>
    </w:p>
    <w:p w:rsidR="001F4901" w:rsidRPr="007E2053" w:rsidRDefault="0080487E" w:rsidP="0029034C">
      <w:pPr>
        <w:spacing w:line="240" w:lineRule="auto"/>
        <w:rPr>
          <w:szCs w:val="22"/>
          <w:lang w:val="sk-SK"/>
        </w:rPr>
      </w:pPr>
      <w:r w:rsidRPr="007E2053">
        <w:rPr>
          <w:szCs w:val="22"/>
          <w:lang w:val="sk-SK"/>
        </w:rPr>
        <w:t>Všetok nepoužitý</w:t>
      </w:r>
      <w:r w:rsidR="00684229" w:rsidRPr="007E2053">
        <w:rPr>
          <w:szCs w:val="22"/>
          <w:lang w:val="sk-SK"/>
        </w:rPr>
        <w:t xml:space="preserve"> liek alebo odpad vzniknutý z lieku </w:t>
      </w:r>
      <w:r w:rsidRPr="007E2053">
        <w:rPr>
          <w:szCs w:val="22"/>
          <w:lang w:val="sk-SK"/>
        </w:rPr>
        <w:t>sa má z</w:t>
      </w:r>
      <w:r w:rsidR="00BC050E" w:rsidRPr="007E2053">
        <w:rPr>
          <w:szCs w:val="22"/>
          <w:lang w:val="sk-SK"/>
        </w:rPr>
        <w:t xml:space="preserve">likvidovať v súlade s národnými </w:t>
      </w:r>
      <w:r w:rsidRPr="007E2053">
        <w:rPr>
          <w:szCs w:val="22"/>
          <w:lang w:val="sk-SK"/>
        </w:rPr>
        <w:t>požiadavkami</w:t>
      </w:r>
      <w:r w:rsidR="00684229" w:rsidRPr="007E2053">
        <w:rPr>
          <w:szCs w:val="22"/>
          <w:lang w:val="sk-SK"/>
        </w:rPr>
        <w:t>.</w:t>
      </w:r>
    </w:p>
    <w:p w:rsidR="001F4901" w:rsidRPr="007E2053" w:rsidRDefault="001F4901" w:rsidP="0029034C">
      <w:pPr>
        <w:spacing w:line="240" w:lineRule="auto"/>
        <w:rPr>
          <w:szCs w:val="22"/>
          <w:lang w:val="sk-SK"/>
        </w:rPr>
      </w:pPr>
    </w:p>
    <w:bookmarkEnd w:id="0"/>
    <w:p w:rsidR="001F4901" w:rsidRPr="007E2053" w:rsidRDefault="001F4901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4B2210">
      <w:pPr>
        <w:pStyle w:val="Nadpis1"/>
        <w:rPr>
          <w:lang w:val="sk-SK"/>
        </w:rPr>
      </w:pPr>
      <w:r w:rsidRPr="007E2053">
        <w:rPr>
          <w:lang w:val="sk-SK"/>
        </w:rPr>
        <w:t>7.</w:t>
      </w:r>
      <w:r w:rsidRPr="007E2053">
        <w:rPr>
          <w:lang w:val="sk-SK"/>
        </w:rPr>
        <w:tab/>
      </w:r>
      <w:r w:rsidR="00DC4E0E" w:rsidRPr="007E2053">
        <w:rPr>
          <w:lang w:val="sk-SK"/>
        </w:rPr>
        <w:t>DRŽITEĽ ROZHODNUTIA O </w:t>
      </w:r>
      <w:r w:rsidR="00684229" w:rsidRPr="007E2053">
        <w:rPr>
          <w:lang w:val="sk-SK"/>
        </w:rPr>
        <w:t>REGISTRÁCII</w:t>
      </w:r>
    </w:p>
    <w:p w:rsidR="001F4901" w:rsidRPr="007E2053" w:rsidRDefault="001F4901" w:rsidP="0029034C">
      <w:pPr>
        <w:spacing w:line="240" w:lineRule="auto"/>
        <w:rPr>
          <w:noProof/>
          <w:szCs w:val="22"/>
          <w:lang w:val="sk-SK"/>
        </w:rPr>
      </w:pPr>
    </w:p>
    <w:p w:rsidR="00DC4E0E" w:rsidRPr="007E2053" w:rsidRDefault="00DC4E0E" w:rsidP="00DC4E0E">
      <w:pPr>
        <w:tabs>
          <w:tab w:val="left" w:pos="0"/>
        </w:tabs>
        <w:spacing w:line="240" w:lineRule="auto"/>
        <w:jc w:val="both"/>
        <w:rPr>
          <w:color w:val="000000"/>
          <w:lang w:val="sk-SK"/>
        </w:rPr>
      </w:pPr>
      <w:r w:rsidRPr="007E2053">
        <w:rPr>
          <w:color w:val="000000"/>
          <w:lang w:val="sk-SK"/>
        </w:rPr>
        <w:t>CANDE s.r.o.</w:t>
      </w:r>
    </w:p>
    <w:p w:rsidR="00DC4E0E" w:rsidRPr="007E2053" w:rsidRDefault="00F474CF" w:rsidP="00DC4E0E">
      <w:pPr>
        <w:tabs>
          <w:tab w:val="left" w:pos="0"/>
        </w:tabs>
        <w:spacing w:line="240" w:lineRule="auto"/>
        <w:jc w:val="both"/>
        <w:rPr>
          <w:color w:val="000000"/>
          <w:lang w:val="sk-SK"/>
        </w:rPr>
      </w:pPr>
      <w:r w:rsidRPr="007E2053">
        <w:rPr>
          <w:color w:val="000000"/>
          <w:lang w:val="sk-SK"/>
        </w:rPr>
        <w:t xml:space="preserve">E. Belluša </w:t>
      </w:r>
      <w:r w:rsidRPr="007E2053">
        <w:rPr>
          <w:szCs w:val="22"/>
          <w:lang w:val="sk-SK"/>
        </w:rPr>
        <w:t>6752/4</w:t>
      </w:r>
    </w:p>
    <w:p w:rsidR="00DC4E0E" w:rsidRPr="007E2053" w:rsidRDefault="00DC4E0E" w:rsidP="00DC4E0E">
      <w:pPr>
        <w:tabs>
          <w:tab w:val="left" w:pos="0"/>
        </w:tabs>
        <w:spacing w:line="240" w:lineRule="auto"/>
        <w:jc w:val="both"/>
        <w:rPr>
          <w:color w:val="000000"/>
          <w:lang w:val="sk-SK"/>
        </w:rPr>
      </w:pPr>
      <w:r w:rsidRPr="007E2053">
        <w:rPr>
          <w:color w:val="000000"/>
          <w:lang w:val="sk-SK"/>
        </w:rPr>
        <w:t>921 01 Piešťany</w:t>
      </w:r>
    </w:p>
    <w:p w:rsidR="00DC4E0E" w:rsidRPr="007E2053" w:rsidRDefault="00DC4E0E" w:rsidP="00DC4E0E">
      <w:pPr>
        <w:tabs>
          <w:tab w:val="left" w:pos="0"/>
        </w:tabs>
        <w:spacing w:line="240" w:lineRule="auto"/>
        <w:jc w:val="both"/>
        <w:rPr>
          <w:color w:val="000000"/>
          <w:lang w:val="sk-SK"/>
        </w:rPr>
      </w:pPr>
      <w:r w:rsidRPr="007E2053">
        <w:rPr>
          <w:color w:val="000000"/>
          <w:lang w:val="sk-SK"/>
        </w:rPr>
        <w:t>Slovenská republika</w:t>
      </w:r>
    </w:p>
    <w:p w:rsidR="001F4901" w:rsidRPr="007E2053" w:rsidRDefault="001F4901" w:rsidP="0029034C">
      <w:pPr>
        <w:spacing w:line="240" w:lineRule="auto"/>
        <w:rPr>
          <w:noProof/>
          <w:szCs w:val="22"/>
          <w:lang w:val="sk-SK"/>
        </w:rPr>
      </w:pPr>
    </w:p>
    <w:p w:rsidR="00326784" w:rsidRPr="007E2053" w:rsidRDefault="00326784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4B2210">
      <w:pPr>
        <w:pStyle w:val="Nadpis1"/>
        <w:rPr>
          <w:lang w:val="sk-SK"/>
        </w:rPr>
      </w:pPr>
      <w:r w:rsidRPr="007E2053">
        <w:rPr>
          <w:lang w:val="sk-SK"/>
        </w:rPr>
        <w:t>8.</w:t>
      </w:r>
      <w:r w:rsidRPr="007E2053">
        <w:rPr>
          <w:lang w:val="sk-SK"/>
        </w:rPr>
        <w:tab/>
      </w:r>
      <w:r w:rsidR="00684229" w:rsidRPr="007E2053">
        <w:rPr>
          <w:lang w:val="sk-SK"/>
        </w:rPr>
        <w:t>REGISTRAČNÉ ČÍSL</w:t>
      </w:r>
      <w:r w:rsidR="004819FF">
        <w:rPr>
          <w:lang w:val="sk-SK"/>
        </w:rPr>
        <w:t>A</w:t>
      </w:r>
    </w:p>
    <w:p w:rsidR="00567763" w:rsidRPr="007E2053" w:rsidRDefault="00567763" w:rsidP="0029034C">
      <w:pPr>
        <w:spacing w:line="240" w:lineRule="auto"/>
        <w:rPr>
          <w:noProof/>
          <w:szCs w:val="22"/>
          <w:lang w:val="sk-SK"/>
        </w:rPr>
      </w:pPr>
    </w:p>
    <w:p w:rsidR="009E2AB1" w:rsidRDefault="00E31FC2" w:rsidP="0029034C">
      <w:pPr>
        <w:spacing w:line="240" w:lineRule="auto"/>
        <w:rPr>
          <w:noProof/>
          <w:szCs w:val="22"/>
          <w:lang w:val="sk-SK"/>
        </w:rPr>
      </w:pPr>
      <w:r>
        <w:rPr>
          <w:noProof/>
          <w:szCs w:val="22"/>
          <w:lang w:val="sk-SK"/>
        </w:rPr>
        <w:t>CINAMED 30 mg: 56/0281/19-S</w:t>
      </w:r>
    </w:p>
    <w:p w:rsidR="00E31FC2" w:rsidRDefault="00E31FC2" w:rsidP="0029034C">
      <w:pPr>
        <w:spacing w:line="240" w:lineRule="auto"/>
        <w:rPr>
          <w:noProof/>
          <w:szCs w:val="22"/>
          <w:lang w:val="sk-SK"/>
        </w:rPr>
      </w:pPr>
      <w:r>
        <w:rPr>
          <w:noProof/>
          <w:szCs w:val="22"/>
          <w:lang w:val="sk-SK"/>
        </w:rPr>
        <w:t>CINAMED 60 mg: 56/0282/19-S</w:t>
      </w:r>
    </w:p>
    <w:p w:rsidR="00E31FC2" w:rsidRPr="007E2053" w:rsidRDefault="00E31FC2" w:rsidP="0029034C">
      <w:pPr>
        <w:spacing w:line="240" w:lineRule="auto"/>
        <w:rPr>
          <w:noProof/>
          <w:szCs w:val="22"/>
          <w:lang w:val="sk-SK"/>
        </w:rPr>
      </w:pPr>
    </w:p>
    <w:p w:rsidR="009E2AB1" w:rsidRPr="007E2053" w:rsidRDefault="009E2AB1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4B2210">
      <w:pPr>
        <w:pStyle w:val="Nadpis1"/>
        <w:rPr>
          <w:lang w:val="sk-SK"/>
        </w:rPr>
      </w:pPr>
      <w:r w:rsidRPr="007E2053">
        <w:rPr>
          <w:lang w:val="sk-SK"/>
        </w:rPr>
        <w:t>9.</w:t>
      </w:r>
      <w:r w:rsidRPr="007E2053">
        <w:rPr>
          <w:lang w:val="sk-SK"/>
        </w:rPr>
        <w:tab/>
      </w:r>
      <w:r w:rsidR="00684229" w:rsidRPr="007E2053">
        <w:rPr>
          <w:lang w:val="sk-SK"/>
        </w:rPr>
        <w:t>DÁTUM PRVEJ REGISTRÁCIE/PREDĹŽENIA REGISTRÁCIE</w:t>
      </w:r>
    </w:p>
    <w:p w:rsidR="00DC4E0E" w:rsidRPr="007E2053" w:rsidRDefault="00DC4E0E" w:rsidP="00DC4E0E">
      <w:pPr>
        <w:pStyle w:val="Bezmezer"/>
        <w:tabs>
          <w:tab w:val="left" w:pos="562"/>
        </w:tabs>
        <w:jc w:val="both"/>
        <w:rPr>
          <w:rFonts w:ascii="Times New Roman" w:hAnsi="Times New Roman"/>
        </w:rPr>
      </w:pPr>
    </w:p>
    <w:p w:rsidR="00DC4E0E" w:rsidRPr="007E2053" w:rsidRDefault="00DC4E0E" w:rsidP="00DC4E0E">
      <w:pPr>
        <w:tabs>
          <w:tab w:val="left" w:pos="0"/>
        </w:tabs>
        <w:spacing w:line="240" w:lineRule="auto"/>
        <w:jc w:val="both"/>
        <w:rPr>
          <w:color w:val="000000"/>
          <w:lang w:val="sk-SK"/>
        </w:rPr>
      </w:pPr>
      <w:r w:rsidRPr="007E2053">
        <w:rPr>
          <w:color w:val="000000"/>
          <w:lang w:val="sk-SK"/>
        </w:rPr>
        <w:t>Dátum prvej registrácie:</w:t>
      </w:r>
      <w:r w:rsidR="00D56644" w:rsidRPr="007E2053">
        <w:rPr>
          <w:color w:val="000000"/>
          <w:lang w:val="sk-SK"/>
        </w:rPr>
        <w:t xml:space="preserve"> </w:t>
      </w:r>
    </w:p>
    <w:p w:rsidR="001F4901" w:rsidRPr="007E2053" w:rsidRDefault="001F4901" w:rsidP="0029034C">
      <w:pPr>
        <w:spacing w:line="240" w:lineRule="auto"/>
        <w:rPr>
          <w:noProof/>
          <w:szCs w:val="22"/>
          <w:lang w:val="sk-SK"/>
        </w:rPr>
      </w:pPr>
    </w:p>
    <w:p w:rsidR="00326784" w:rsidRPr="007E2053" w:rsidRDefault="00326784" w:rsidP="0029034C">
      <w:pPr>
        <w:spacing w:line="240" w:lineRule="auto"/>
        <w:rPr>
          <w:noProof/>
          <w:szCs w:val="22"/>
          <w:lang w:val="sk-SK"/>
        </w:rPr>
      </w:pPr>
    </w:p>
    <w:p w:rsidR="001F4901" w:rsidRPr="007E2053" w:rsidRDefault="001F4901" w:rsidP="004B2210">
      <w:pPr>
        <w:pStyle w:val="Nadpis1"/>
        <w:rPr>
          <w:lang w:val="sk-SK"/>
        </w:rPr>
      </w:pPr>
      <w:r w:rsidRPr="007E2053">
        <w:rPr>
          <w:lang w:val="sk-SK"/>
        </w:rPr>
        <w:t>10.</w:t>
      </w:r>
      <w:r w:rsidRPr="007E2053">
        <w:rPr>
          <w:lang w:val="sk-SK"/>
        </w:rPr>
        <w:tab/>
      </w:r>
      <w:r w:rsidR="00684229" w:rsidRPr="007E2053">
        <w:rPr>
          <w:lang w:val="sk-SK"/>
        </w:rPr>
        <w:t>DÁTUM REVÍZIE TEXTU</w:t>
      </w:r>
    </w:p>
    <w:p w:rsidR="00012616" w:rsidRPr="007E2053" w:rsidRDefault="00012616" w:rsidP="0029034C">
      <w:pPr>
        <w:numPr>
          <w:ilvl w:val="12"/>
          <w:numId w:val="0"/>
        </w:numPr>
        <w:spacing w:line="240" w:lineRule="auto"/>
        <w:ind w:right="-2"/>
        <w:rPr>
          <w:szCs w:val="22"/>
          <w:lang w:val="sk-SK"/>
        </w:rPr>
      </w:pPr>
    </w:p>
    <w:p w:rsidR="00D26FD6" w:rsidRPr="007E2053" w:rsidRDefault="00550F90" w:rsidP="0029034C">
      <w:pPr>
        <w:numPr>
          <w:ilvl w:val="12"/>
          <w:numId w:val="0"/>
        </w:numPr>
        <w:spacing w:line="240" w:lineRule="auto"/>
        <w:ind w:right="-2"/>
        <w:rPr>
          <w:iCs/>
          <w:noProof/>
          <w:szCs w:val="22"/>
          <w:lang w:val="sk-SK"/>
        </w:rPr>
      </w:pPr>
      <w:r>
        <w:rPr>
          <w:iCs/>
          <w:noProof/>
          <w:szCs w:val="22"/>
          <w:lang w:val="sk-SK"/>
        </w:rPr>
        <w:t>09/2019</w:t>
      </w:r>
    </w:p>
    <w:sectPr w:rsidR="00D26FD6" w:rsidRPr="007E2053" w:rsidSect="00DB4ECF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C7" w:rsidRDefault="005153C7">
      <w:r>
        <w:separator/>
      </w:r>
    </w:p>
  </w:endnote>
  <w:endnote w:type="continuationSeparator" w:id="1">
    <w:p w:rsidR="005153C7" w:rsidRDefault="005153C7">
      <w:r>
        <w:continuationSeparator/>
      </w:r>
    </w:p>
  </w:endnote>
  <w:endnote w:type="continuationNotice" w:id="2">
    <w:p w:rsidR="005153C7" w:rsidRDefault="005153C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76jga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A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6B" w:rsidRDefault="00F35C6B">
    <w:pPr>
      <w:pStyle w:val="Zpat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143A88">
      <w:rPr>
        <w:rStyle w:val="slostrnky"/>
        <w:rFonts w:ascii="Times New Roman" w:hAnsi="Times New Roman"/>
        <w:sz w:val="18"/>
        <w:szCs w:val="18"/>
      </w:rPr>
      <w:fldChar w:fldCharType="begin"/>
    </w:r>
    <w:r w:rsidRPr="00143A88">
      <w:rPr>
        <w:rStyle w:val="slostrnky"/>
        <w:rFonts w:ascii="Times New Roman" w:hAnsi="Times New Roman"/>
        <w:sz w:val="18"/>
        <w:szCs w:val="18"/>
      </w:rPr>
      <w:instrText xml:space="preserve">PAGE  </w:instrText>
    </w:r>
    <w:r w:rsidRPr="00143A88">
      <w:rPr>
        <w:rStyle w:val="slostrnky"/>
        <w:rFonts w:ascii="Times New Roman" w:hAnsi="Times New Roman"/>
        <w:sz w:val="18"/>
        <w:szCs w:val="18"/>
      </w:rPr>
      <w:fldChar w:fldCharType="separate"/>
    </w:r>
    <w:r w:rsidR="00523DD0">
      <w:rPr>
        <w:rStyle w:val="slostrnky"/>
        <w:rFonts w:ascii="Times New Roman" w:hAnsi="Times New Roman"/>
        <w:sz w:val="18"/>
        <w:szCs w:val="18"/>
      </w:rPr>
      <w:t>1</w:t>
    </w:r>
    <w:r w:rsidRPr="00143A88">
      <w:rPr>
        <w:rStyle w:val="slostrnky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6B" w:rsidRDefault="00F35C6B">
    <w:pPr>
      <w:pStyle w:val="Zpat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29034C">
      <w:rPr>
        <w:rStyle w:val="slostrnky"/>
        <w:rFonts w:ascii="Times New Roman" w:hAnsi="Times New Roman"/>
        <w:sz w:val="18"/>
        <w:szCs w:val="18"/>
      </w:rPr>
      <w:fldChar w:fldCharType="begin"/>
    </w:r>
    <w:r w:rsidRPr="0029034C">
      <w:rPr>
        <w:rStyle w:val="slostrnky"/>
        <w:rFonts w:ascii="Times New Roman" w:hAnsi="Times New Roman"/>
        <w:sz w:val="18"/>
        <w:szCs w:val="18"/>
      </w:rPr>
      <w:instrText xml:space="preserve">PAGE  </w:instrText>
    </w:r>
    <w:r w:rsidRPr="0029034C">
      <w:rPr>
        <w:rStyle w:val="slostrnky"/>
        <w:rFonts w:ascii="Times New Roman" w:hAnsi="Times New Roman"/>
        <w:sz w:val="18"/>
        <w:szCs w:val="18"/>
      </w:rPr>
      <w:fldChar w:fldCharType="separate"/>
    </w:r>
    <w:r>
      <w:rPr>
        <w:rStyle w:val="slostrnky"/>
        <w:rFonts w:ascii="Times New Roman" w:hAnsi="Times New Roman"/>
        <w:sz w:val="18"/>
        <w:szCs w:val="18"/>
      </w:rPr>
      <w:t>1</w:t>
    </w:r>
    <w:r w:rsidRPr="0029034C">
      <w:rPr>
        <w:rStyle w:val="slostrnk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C7" w:rsidRDefault="005153C7">
      <w:r>
        <w:separator/>
      </w:r>
    </w:p>
  </w:footnote>
  <w:footnote w:type="continuationSeparator" w:id="1">
    <w:p w:rsidR="005153C7" w:rsidRDefault="005153C7">
      <w:r>
        <w:continuationSeparator/>
      </w:r>
    </w:p>
  </w:footnote>
  <w:footnote w:type="continuationNotice" w:id="2">
    <w:p w:rsidR="005153C7" w:rsidRDefault="005153C7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6B" w:rsidRPr="00B95719" w:rsidRDefault="00F35C6B" w:rsidP="00B95719">
    <w:pPr>
      <w:pStyle w:val="Zhlav"/>
      <w:rPr>
        <w:rFonts w:ascii="Times New Roman" w:hAnsi="Times New Roman"/>
        <w:sz w:val="18"/>
        <w:szCs w:val="18"/>
      </w:rPr>
    </w:pPr>
    <w:r w:rsidRPr="00B95719">
      <w:rPr>
        <w:rFonts w:ascii="Times New Roman" w:hAnsi="Times New Roman"/>
        <w:color w:val="05121F"/>
        <w:sz w:val="18"/>
        <w:szCs w:val="18"/>
      </w:rPr>
      <w:t>Schválený text k rozhodnutiu o registrácii, ev. č.:</w:t>
    </w:r>
    <w:r w:rsidR="00DC49E6">
      <w:rPr>
        <w:rFonts w:ascii="Times New Roman" w:hAnsi="Times New Roman"/>
        <w:color w:val="05121F"/>
        <w:sz w:val="18"/>
        <w:szCs w:val="18"/>
      </w:rPr>
      <w:t xml:space="preserve"> </w:t>
    </w:r>
    <w:r w:rsidR="00DC49E6" w:rsidRPr="00DC49E6">
      <w:rPr>
        <w:rFonts w:ascii="Times New Roman" w:hAnsi="Times New Roman"/>
        <w:color w:val="05121F"/>
        <w:sz w:val="18"/>
        <w:szCs w:val="18"/>
      </w:rPr>
      <w:t>2018/02377-REG, 2018/02378-REG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5pt;height:13.5pt" o:bullet="t">
        <v:imagedata r:id="rId1" o:title="BT_1000x858px"/>
      </v:shape>
    </w:pict>
  </w:numPicBullet>
  <w:abstractNum w:abstractNumId="0">
    <w:nsid w:val="833F7800"/>
    <w:multiLevelType w:val="hybridMultilevel"/>
    <w:tmpl w:val="225D9C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0BA86D"/>
    <w:multiLevelType w:val="hybridMultilevel"/>
    <w:tmpl w:val="CD089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6CBA6A"/>
    <w:multiLevelType w:val="hybridMultilevel"/>
    <w:tmpl w:val="4A90D9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906C9E"/>
    <w:multiLevelType w:val="hybridMultilevel"/>
    <w:tmpl w:val="0045E01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792E62"/>
    <w:multiLevelType w:val="hybridMultilevel"/>
    <w:tmpl w:val="2E028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91C32"/>
    <w:multiLevelType w:val="hybridMultilevel"/>
    <w:tmpl w:val="EB2C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03580"/>
    <w:multiLevelType w:val="hybridMultilevel"/>
    <w:tmpl w:val="C4C07192"/>
    <w:lvl w:ilvl="0" w:tplc="0D40BA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72181"/>
    <w:multiLevelType w:val="hybridMultilevel"/>
    <w:tmpl w:val="2AC65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3205BC"/>
    <w:multiLevelType w:val="hybridMultilevel"/>
    <w:tmpl w:val="6C8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761D3"/>
    <w:multiLevelType w:val="hybridMultilevel"/>
    <w:tmpl w:val="E08C97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EA13F9"/>
    <w:multiLevelType w:val="hybridMultilevel"/>
    <w:tmpl w:val="E7A07C08"/>
    <w:lvl w:ilvl="0" w:tplc="804EA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52BBE"/>
    <w:multiLevelType w:val="hybridMultilevel"/>
    <w:tmpl w:val="10F291CA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3360F"/>
    <w:multiLevelType w:val="hybridMultilevel"/>
    <w:tmpl w:val="249E0D6C"/>
    <w:lvl w:ilvl="0" w:tplc="FFFFFFFF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1976621"/>
    <w:multiLevelType w:val="hybridMultilevel"/>
    <w:tmpl w:val="B12A378C"/>
    <w:lvl w:ilvl="0" w:tplc="0B0C3ED8">
      <w:start w:val="1"/>
      <w:numFmt w:val="lowerRoman"/>
      <w:pStyle w:val="A-Listi"/>
      <w:lvlText w:val="(%1)"/>
      <w:lvlJc w:val="left"/>
      <w:pPr>
        <w:tabs>
          <w:tab w:val="num" w:pos="994"/>
        </w:tabs>
        <w:ind w:left="994" w:hanging="9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92F2D"/>
    <w:multiLevelType w:val="hybridMultilevel"/>
    <w:tmpl w:val="FD5415E0"/>
    <w:lvl w:ilvl="0" w:tplc="6C32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436C"/>
    <w:multiLevelType w:val="hybridMultilevel"/>
    <w:tmpl w:val="59FEF6BE"/>
    <w:lvl w:ilvl="0" w:tplc="04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445FAF"/>
    <w:multiLevelType w:val="singleLevel"/>
    <w:tmpl w:val="DB2A6048"/>
    <w:lvl w:ilvl="0">
      <w:start w:val="1"/>
      <w:numFmt w:val="bullet"/>
      <w:pStyle w:val="A-FigureTitle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7">
    <w:nsid w:val="3D2C1251"/>
    <w:multiLevelType w:val="hybridMultilevel"/>
    <w:tmpl w:val="CCB4CEE2"/>
    <w:lvl w:ilvl="0" w:tplc="D2687062">
      <w:start w:val="1"/>
      <w:numFmt w:val="bullet"/>
      <w:lvlText w:val=""/>
      <w:lvlJc w:val="left"/>
      <w:pPr>
        <w:tabs>
          <w:tab w:val="num" w:pos="417"/>
        </w:tabs>
        <w:ind w:left="417" w:hanging="417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6D6497"/>
    <w:multiLevelType w:val="hybridMultilevel"/>
    <w:tmpl w:val="E57CE2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47D3986"/>
    <w:multiLevelType w:val="hybridMultilevel"/>
    <w:tmpl w:val="1BBC4250"/>
    <w:lvl w:ilvl="0" w:tplc="5F14E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4E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6A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49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6E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28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9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64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F9E2359"/>
    <w:multiLevelType w:val="hybridMultilevel"/>
    <w:tmpl w:val="284C48E2"/>
    <w:lvl w:ilvl="0" w:tplc="CCB0F2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417AC"/>
    <w:multiLevelType w:val="hybridMultilevel"/>
    <w:tmpl w:val="4FA8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103CC"/>
    <w:multiLevelType w:val="hybridMultilevel"/>
    <w:tmpl w:val="A6524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053E58"/>
    <w:multiLevelType w:val="hybridMultilevel"/>
    <w:tmpl w:val="F58460D2"/>
    <w:lvl w:ilvl="0" w:tplc="901AA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53CA2"/>
    <w:multiLevelType w:val="hybridMultilevel"/>
    <w:tmpl w:val="097C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AF766"/>
    <w:multiLevelType w:val="hybridMultilevel"/>
    <w:tmpl w:val="6AC24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EB53CCE"/>
    <w:multiLevelType w:val="hybridMultilevel"/>
    <w:tmpl w:val="293AE9A2"/>
    <w:lvl w:ilvl="0" w:tplc="CA7CA52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23"/>
  </w:num>
  <w:num w:numId="5">
    <w:abstractNumId w:val="22"/>
  </w:num>
  <w:num w:numId="6">
    <w:abstractNumId w:val="12"/>
  </w:num>
  <w:num w:numId="7">
    <w:abstractNumId w:val="21"/>
  </w:num>
  <w:num w:numId="8">
    <w:abstractNumId w:val="24"/>
  </w:num>
  <w:num w:numId="9">
    <w:abstractNumId w:val="4"/>
  </w:num>
  <w:num w:numId="10">
    <w:abstractNumId w:val="8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10"/>
  </w:num>
  <w:num w:numId="16">
    <w:abstractNumId w:val="17"/>
  </w:num>
  <w:num w:numId="17">
    <w:abstractNumId w:val="14"/>
  </w:num>
  <w:num w:numId="18">
    <w:abstractNumId w:val="11"/>
  </w:num>
  <w:num w:numId="19">
    <w:abstractNumId w:val="19"/>
  </w:num>
  <w:num w:numId="20">
    <w:abstractNumId w:val="26"/>
  </w:num>
  <w:num w:numId="21">
    <w:abstractNumId w:val="18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>
    <w:useFELayout/>
  </w:compat>
  <w:docVars>
    <w:docVar w:name="Registered" w:val="-1"/>
    <w:docVar w:name="Version" w:val="0"/>
  </w:docVars>
  <w:rsids>
    <w:rsidRoot w:val="00417A6D"/>
    <w:rsid w:val="00001F34"/>
    <w:rsid w:val="00002AF4"/>
    <w:rsid w:val="00003132"/>
    <w:rsid w:val="00003797"/>
    <w:rsid w:val="000044E7"/>
    <w:rsid w:val="000057D1"/>
    <w:rsid w:val="00011991"/>
    <w:rsid w:val="00012616"/>
    <w:rsid w:val="00013729"/>
    <w:rsid w:val="00013831"/>
    <w:rsid w:val="00014230"/>
    <w:rsid w:val="000148E0"/>
    <w:rsid w:val="00014F9B"/>
    <w:rsid w:val="00016AA9"/>
    <w:rsid w:val="00016E15"/>
    <w:rsid w:val="000174D8"/>
    <w:rsid w:val="0002040E"/>
    <w:rsid w:val="000208AC"/>
    <w:rsid w:val="0002122B"/>
    <w:rsid w:val="00021C8A"/>
    <w:rsid w:val="0002566D"/>
    <w:rsid w:val="00027510"/>
    <w:rsid w:val="0003143F"/>
    <w:rsid w:val="00033E83"/>
    <w:rsid w:val="00035C15"/>
    <w:rsid w:val="000360F7"/>
    <w:rsid w:val="00041467"/>
    <w:rsid w:val="000415E2"/>
    <w:rsid w:val="00041631"/>
    <w:rsid w:val="00051688"/>
    <w:rsid w:val="00052211"/>
    <w:rsid w:val="000530E8"/>
    <w:rsid w:val="000549A0"/>
    <w:rsid w:val="00054C00"/>
    <w:rsid w:val="00055665"/>
    <w:rsid w:val="00056541"/>
    <w:rsid w:val="0006431D"/>
    <w:rsid w:val="0006475F"/>
    <w:rsid w:val="0006503D"/>
    <w:rsid w:val="0007217F"/>
    <w:rsid w:val="0007255B"/>
    <w:rsid w:val="000756E9"/>
    <w:rsid w:val="00077EF7"/>
    <w:rsid w:val="00086F0D"/>
    <w:rsid w:val="00087CA5"/>
    <w:rsid w:val="0009131C"/>
    <w:rsid w:val="00092266"/>
    <w:rsid w:val="00093466"/>
    <w:rsid w:val="000A0D07"/>
    <w:rsid w:val="000A45E8"/>
    <w:rsid w:val="000A634E"/>
    <w:rsid w:val="000B1A31"/>
    <w:rsid w:val="000B368A"/>
    <w:rsid w:val="000B4A72"/>
    <w:rsid w:val="000B6360"/>
    <w:rsid w:val="000B7280"/>
    <w:rsid w:val="000C0A6E"/>
    <w:rsid w:val="000C3207"/>
    <w:rsid w:val="000C38A0"/>
    <w:rsid w:val="000C65A3"/>
    <w:rsid w:val="000C72EC"/>
    <w:rsid w:val="000D0654"/>
    <w:rsid w:val="000D2671"/>
    <w:rsid w:val="000D29B8"/>
    <w:rsid w:val="000D41F8"/>
    <w:rsid w:val="000D466F"/>
    <w:rsid w:val="000D58B9"/>
    <w:rsid w:val="000D6243"/>
    <w:rsid w:val="000E30E4"/>
    <w:rsid w:val="000E523E"/>
    <w:rsid w:val="000E7789"/>
    <w:rsid w:val="000F1417"/>
    <w:rsid w:val="000F1B08"/>
    <w:rsid w:val="000F733F"/>
    <w:rsid w:val="001014EC"/>
    <w:rsid w:val="0010285C"/>
    <w:rsid w:val="00102CCB"/>
    <w:rsid w:val="00103F42"/>
    <w:rsid w:val="00117FD4"/>
    <w:rsid w:val="0012099E"/>
    <w:rsid w:val="001247C2"/>
    <w:rsid w:val="00125D92"/>
    <w:rsid w:val="001279DB"/>
    <w:rsid w:val="00130368"/>
    <w:rsid w:val="00131167"/>
    <w:rsid w:val="001330E6"/>
    <w:rsid w:val="0013423D"/>
    <w:rsid w:val="001368FB"/>
    <w:rsid w:val="00141FBB"/>
    <w:rsid w:val="00142D80"/>
    <w:rsid w:val="00143659"/>
    <w:rsid w:val="00143A88"/>
    <w:rsid w:val="00146B37"/>
    <w:rsid w:val="001473B4"/>
    <w:rsid w:val="00152095"/>
    <w:rsid w:val="00155BEA"/>
    <w:rsid w:val="00156607"/>
    <w:rsid w:val="0015736E"/>
    <w:rsid w:val="001610B9"/>
    <w:rsid w:val="00161D59"/>
    <w:rsid w:val="00162631"/>
    <w:rsid w:val="00163438"/>
    <w:rsid w:val="001655BA"/>
    <w:rsid w:val="001657D8"/>
    <w:rsid w:val="00170C4E"/>
    <w:rsid w:val="00173100"/>
    <w:rsid w:val="00174034"/>
    <w:rsid w:val="001755E8"/>
    <w:rsid w:val="00176A29"/>
    <w:rsid w:val="001774CC"/>
    <w:rsid w:val="00180AD8"/>
    <w:rsid w:val="00185C6C"/>
    <w:rsid w:val="0018689A"/>
    <w:rsid w:val="00190FCB"/>
    <w:rsid w:val="001910D7"/>
    <w:rsid w:val="001929DE"/>
    <w:rsid w:val="001A1E5D"/>
    <w:rsid w:val="001A3AC1"/>
    <w:rsid w:val="001A68F2"/>
    <w:rsid w:val="001B3335"/>
    <w:rsid w:val="001B44C1"/>
    <w:rsid w:val="001B4867"/>
    <w:rsid w:val="001B5EBC"/>
    <w:rsid w:val="001B7A88"/>
    <w:rsid w:val="001C37B8"/>
    <w:rsid w:val="001C4FE0"/>
    <w:rsid w:val="001C6633"/>
    <w:rsid w:val="001C6F10"/>
    <w:rsid w:val="001D1077"/>
    <w:rsid w:val="001D18B7"/>
    <w:rsid w:val="001D301D"/>
    <w:rsid w:val="001E0E5C"/>
    <w:rsid w:val="001E11D1"/>
    <w:rsid w:val="001E1CA0"/>
    <w:rsid w:val="001E3436"/>
    <w:rsid w:val="001E5FF8"/>
    <w:rsid w:val="001F0655"/>
    <w:rsid w:val="001F076B"/>
    <w:rsid w:val="001F376E"/>
    <w:rsid w:val="001F4001"/>
    <w:rsid w:val="001F4901"/>
    <w:rsid w:val="001F5DE4"/>
    <w:rsid w:val="002010F0"/>
    <w:rsid w:val="002023C9"/>
    <w:rsid w:val="002038AD"/>
    <w:rsid w:val="00204970"/>
    <w:rsid w:val="00204A80"/>
    <w:rsid w:val="0020505A"/>
    <w:rsid w:val="0020548A"/>
    <w:rsid w:val="00207E1C"/>
    <w:rsid w:val="002103A7"/>
    <w:rsid w:val="002135EC"/>
    <w:rsid w:val="00213CE3"/>
    <w:rsid w:val="00215368"/>
    <w:rsid w:val="00215D63"/>
    <w:rsid w:val="0021662C"/>
    <w:rsid w:val="00216DC8"/>
    <w:rsid w:val="0021716C"/>
    <w:rsid w:val="002346A6"/>
    <w:rsid w:val="00241FD3"/>
    <w:rsid w:val="0024218D"/>
    <w:rsid w:val="002423A7"/>
    <w:rsid w:val="00243238"/>
    <w:rsid w:val="00244AF3"/>
    <w:rsid w:val="0024543C"/>
    <w:rsid w:val="00246D24"/>
    <w:rsid w:val="0024746B"/>
    <w:rsid w:val="00250B40"/>
    <w:rsid w:val="00251C62"/>
    <w:rsid w:val="00262DAD"/>
    <w:rsid w:val="002657B5"/>
    <w:rsid w:val="00267CCB"/>
    <w:rsid w:val="002708D3"/>
    <w:rsid w:val="00271BAB"/>
    <w:rsid w:val="002721FC"/>
    <w:rsid w:val="002730A4"/>
    <w:rsid w:val="00273189"/>
    <w:rsid w:val="00274662"/>
    <w:rsid w:val="002754FE"/>
    <w:rsid w:val="00275D76"/>
    <w:rsid w:val="002763AB"/>
    <w:rsid w:val="002775E0"/>
    <w:rsid w:val="00277A03"/>
    <w:rsid w:val="002802CC"/>
    <w:rsid w:val="00282849"/>
    <w:rsid w:val="00286A64"/>
    <w:rsid w:val="0029034C"/>
    <w:rsid w:val="002944EC"/>
    <w:rsid w:val="002A2EB0"/>
    <w:rsid w:val="002A52D3"/>
    <w:rsid w:val="002A5431"/>
    <w:rsid w:val="002B064B"/>
    <w:rsid w:val="002B1E5E"/>
    <w:rsid w:val="002B3F7A"/>
    <w:rsid w:val="002B6EE7"/>
    <w:rsid w:val="002C322F"/>
    <w:rsid w:val="002D39A5"/>
    <w:rsid w:val="002D3AB8"/>
    <w:rsid w:val="002D40FE"/>
    <w:rsid w:val="002D66FD"/>
    <w:rsid w:val="002D7977"/>
    <w:rsid w:val="002D7FFB"/>
    <w:rsid w:val="002E1048"/>
    <w:rsid w:val="002F2220"/>
    <w:rsid w:val="002F41C2"/>
    <w:rsid w:val="002F6AA3"/>
    <w:rsid w:val="00301BCF"/>
    <w:rsid w:val="003023F5"/>
    <w:rsid w:val="00306AF6"/>
    <w:rsid w:val="00306BC0"/>
    <w:rsid w:val="0030798D"/>
    <w:rsid w:val="003139D6"/>
    <w:rsid w:val="003236BD"/>
    <w:rsid w:val="003257F7"/>
    <w:rsid w:val="00325C5D"/>
    <w:rsid w:val="00326784"/>
    <w:rsid w:val="00330718"/>
    <w:rsid w:val="0033091F"/>
    <w:rsid w:val="003326EB"/>
    <w:rsid w:val="00334242"/>
    <w:rsid w:val="003372BF"/>
    <w:rsid w:val="003402B8"/>
    <w:rsid w:val="00342FAC"/>
    <w:rsid w:val="00351A90"/>
    <w:rsid w:val="00355CAC"/>
    <w:rsid w:val="00356A71"/>
    <w:rsid w:val="00362534"/>
    <w:rsid w:val="0036382E"/>
    <w:rsid w:val="003733AE"/>
    <w:rsid w:val="00375404"/>
    <w:rsid w:val="00375EB2"/>
    <w:rsid w:val="0038319C"/>
    <w:rsid w:val="003837FF"/>
    <w:rsid w:val="0038471A"/>
    <w:rsid w:val="00387B15"/>
    <w:rsid w:val="00390281"/>
    <w:rsid w:val="00391A7D"/>
    <w:rsid w:val="00395C84"/>
    <w:rsid w:val="003A29CC"/>
    <w:rsid w:val="003A654A"/>
    <w:rsid w:val="003B01EA"/>
    <w:rsid w:val="003B186A"/>
    <w:rsid w:val="003B3941"/>
    <w:rsid w:val="003B4E5F"/>
    <w:rsid w:val="003B4FBA"/>
    <w:rsid w:val="003B64D7"/>
    <w:rsid w:val="003C060A"/>
    <w:rsid w:val="003C1BFC"/>
    <w:rsid w:val="003C2C5E"/>
    <w:rsid w:val="003C5E0C"/>
    <w:rsid w:val="003C7052"/>
    <w:rsid w:val="003D1767"/>
    <w:rsid w:val="003D262E"/>
    <w:rsid w:val="003D4498"/>
    <w:rsid w:val="003D4BA7"/>
    <w:rsid w:val="003D5AE8"/>
    <w:rsid w:val="003E0881"/>
    <w:rsid w:val="003E1EC2"/>
    <w:rsid w:val="003E30DF"/>
    <w:rsid w:val="003E4B15"/>
    <w:rsid w:val="003E4D1B"/>
    <w:rsid w:val="003E7880"/>
    <w:rsid w:val="003F1DD5"/>
    <w:rsid w:val="003F24D6"/>
    <w:rsid w:val="003F4067"/>
    <w:rsid w:val="003F4321"/>
    <w:rsid w:val="003F514E"/>
    <w:rsid w:val="004011C8"/>
    <w:rsid w:val="004012AA"/>
    <w:rsid w:val="0040184E"/>
    <w:rsid w:val="00401FA6"/>
    <w:rsid w:val="00405F61"/>
    <w:rsid w:val="004070AF"/>
    <w:rsid w:val="00407919"/>
    <w:rsid w:val="00410772"/>
    <w:rsid w:val="00413B15"/>
    <w:rsid w:val="00414F12"/>
    <w:rsid w:val="00417A6D"/>
    <w:rsid w:val="0042097D"/>
    <w:rsid w:val="00424CB0"/>
    <w:rsid w:val="00424EED"/>
    <w:rsid w:val="004271EA"/>
    <w:rsid w:val="00430462"/>
    <w:rsid w:val="00432E9C"/>
    <w:rsid w:val="00437019"/>
    <w:rsid w:val="004372B5"/>
    <w:rsid w:val="00440357"/>
    <w:rsid w:val="00446DF7"/>
    <w:rsid w:val="00451A9B"/>
    <w:rsid w:val="00452606"/>
    <w:rsid w:val="00457B69"/>
    <w:rsid w:val="00463FDD"/>
    <w:rsid w:val="00464432"/>
    <w:rsid w:val="00465FA2"/>
    <w:rsid w:val="00466F68"/>
    <w:rsid w:val="0046738C"/>
    <w:rsid w:val="00470BF1"/>
    <w:rsid w:val="00474365"/>
    <w:rsid w:val="00475AA9"/>
    <w:rsid w:val="0047649F"/>
    <w:rsid w:val="004764A7"/>
    <w:rsid w:val="004819FF"/>
    <w:rsid w:val="00491F5B"/>
    <w:rsid w:val="00494556"/>
    <w:rsid w:val="00496FF5"/>
    <w:rsid w:val="004A247A"/>
    <w:rsid w:val="004A2FAC"/>
    <w:rsid w:val="004A4902"/>
    <w:rsid w:val="004A7181"/>
    <w:rsid w:val="004B2210"/>
    <w:rsid w:val="004B2E5B"/>
    <w:rsid w:val="004B3EF8"/>
    <w:rsid w:val="004B5392"/>
    <w:rsid w:val="004B61A6"/>
    <w:rsid w:val="004C0780"/>
    <w:rsid w:val="004D0A35"/>
    <w:rsid w:val="004D2132"/>
    <w:rsid w:val="004D2CF4"/>
    <w:rsid w:val="004D4A89"/>
    <w:rsid w:val="004D6924"/>
    <w:rsid w:val="004D750A"/>
    <w:rsid w:val="004E0732"/>
    <w:rsid w:val="004E3F1E"/>
    <w:rsid w:val="004E7453"/>
    <w:rsid w:val="004F3FE0"/>
    <w:rsid w:val="004F4A4C"/>
    <w:rsid w:val="004F5E1F"/>
    <w:rsid w:val="00500C9B"/>
    <w:rsid w:val="005014E7"/>
    <w:rsid w:val="005031D3"/>
    <w:rsid w:val="00503745"/>
    <w:rsid w:val="0050488A"/>
    <w:rsid w:val="00505185"/>
    <w:rsid w:val="005057DC"/>
    <w:rsid w:val="00505C60"/>
    <w:rsid w:val="00506D49"/>
    <w:rsid w:val="00507BF0"/>
    <w:rsid w:val="00512301"/>
    <w:rsid w:val="00514A19"/>
    <w:rsid w:val="005153C7"/>
    <w:rsid w:val="00520102"/>
    <w:rsid w:val="00523C33"/>
    <w:rsid w:val="00523DD0"/>
    <w:rsid w:val="005315DC"/>
    <w:rsid w:val="00540EC5"/>
    <w:rsid w:val="00541CA1"/>
    <w:rsid w:val="005457F5"/>
    <w:rsid w:val="005461A1"/>
    <w:rsid w:val="00550F90"/>
    <w:rsid w:val="0055488D"/>
    <w:rsid w:val="0056204C"/>
    <w:rsid w:val="005633D9"/>
    <w:rsid w:val="005662E6"/>
    <w:rsid w:val="00567763"/>
    <w:rsid w:val="00570ACD"/>
    <w:rsid w:val="00573338"/>
    <w:rsid w:val="00573438"/>
    <w:rsid w:val="00582581"/>
    <w:rsid w:val="005828B8"/>
    <w:rsid w:val="005838B1"/>
    <w:rsid w:val="00584127"/>
    <w:rsid w:val="005872A9"/>
    <w:rsid w:val="005874B3"/>
    <w:rsid w:val="00591412"/>
    <w:rsid w:val="00592ECE"/>
    <w:rsid w:val="005953F0"/>
    <w:rsid w:val="00596AF0"/>
    <w:rsid w:val="00596DB7"/>
    <w:rsid w:val="005A138F"/>
    <w:rsid w:val="005A16A1"/>
    <w:rsid w:val="005A30C2"/>
    <w:rsid w:val="005A46A8"/>
    <w:rsid w:val="005A500D"/>
    <w:rsid w:val="005A65EC"/>
    <w:rsid w:val="005A6773"/>
    <w:rsid w:val="005A7494"/>
    <w:rsid w:val="005A79D5"/>
    <w:rsid w:val="005B3986"/>
    <w:rsid w:val="005B4B4A"/>
    <w:rsid w:val="005B7DE7"/>
    <w:rsid w:val="005C15CC"/>
    <w:rsid w:val="005C4CC1"/>
    <w:rsid w:val="005C56FA"/>
    <w:rsid w:val="005D1B1C"/>
    <w:rsid w:val="005D2427"/>
    <w:rsid w:val="005D4D83"/>
    <w:rsid w:val="005E0A3A"/>
    <w:rsid w:val="005E10D6"/>
    <w:rsid w:val="005E1FAD"/>
    <w:rsid w:val="005E4B5B"/>
    <w:rsid w:val="005E5555"/>
    <w:rsid w:val="005E7760"/>
    <w:rsid w:val="005F603D"/>
    <w:rsid w:val="005F7EEC"/>
    <w:rsid w:val="0060238F"/>
    <w:rsid w:val="00606DAF"/>
    <w:rsid w:val="00612E81"/>
    <w:rsid w:val="0061467A"/>
    <w:rsid w:val="00615AED"/>
    <w:rsid w:val="00620AE1"/>
    <w:rsid w:val="00624A59"/>
    <w:rsid w:val="00624F0E"/>
    <w:rsid w:val="00627B1C"/>
    <w:rsid w:val="00627F50"/>
    <w:rsid w:val="00634C44"/>
    <w:rsid w:val="006351AC"/>
    <w:rsid w:val="00642178"/>
    <w:rsid w:val="0064288A"/>
    <w:rsid w:val="00642BBF"/>
    <w:rsid w:val="00642D66"/>
    <w:rsid w:val="00642FD4"/>
    <w:rsid w:val="006446FE"/>
    <w:rsid w:val="006505D3"/>
    <w:rsid w:val="00652453"/>
    <w:rsid w:val="006524E0"/>
    <w:rsid w:val="0065367C"/>
    <w:rsid w:val="0065445F"/>
    <w:rsid w:val="0065482C"/>
    <w:rsid w:val="00655156"/>
    <w:rsid w:val="00656F90"/>
    <w:rsid w:val="00660E07"/>
    <w:rsid w:val="00662ECF"/>
    <w:rsid w:val="0066314D"/>
    <w:rsid w:val="0066533D"/>
    <w:rsid w:val="00667B00"/>
    <w:rsid w:val="00667FCD"/>
    <w:rsid w:val="00671163"/>
    <w:rsid w:val="00674CEE"/>
    <w:rsid w:val="00675389"/>
    <w:rsid w:val="006761A7"/>
    <w:rsid w:val="00680FBD"/>
    <w:rsid w:val="0068108F"/>
    <w:rsid w:val="00684229"/>
    <w:rsid w:val="00686266"/>
    <w:rsid w:val="00691D73"/>
    <w:rsid w:val="006925F2"/>
    <w:rsid w:val="006940D0"/>
    <w:rsid w:val="00694B37"/>
    <w:rsid w:val="00695AD8"/>
    <w:rsid w:val="006977E9"/>
    <w:rsid w:val="006A1242"/>
    <w:rsid w:val="006A2329"/>
    <w:rsid w:val="006A248B"/>
    <w:rsid w:val="006A2614"/>
    <w:rsid w:val="006A32B2"/>
    <w:rsid w:val="006A4AAD"/>
    <w:rsid w:val="006A6B4E"/>
    <w:rsid w:val="006B0D3C"/>
    <w:rsid w:val="006B34DB"/>
    <w:rsid w:val="006B40EB"/>
    <w:rsid w:val="006C0225"/>
    <w:rsid w:val="006C03FE"/>
    <w:rsid w:val="006C0EEC"/>
    <w:rsid w:val="006C178A"/>
    <w:rsid w:val="006C5247"/>
    <w:rsid w:val="006C57B8"/>
    <w:rsid w:val="006C596F"/>
    <w:rsid w:val="006C76C1"/>
    <w:rsid w:val="006D00C5"/>
    <w:rsid w:val="006D1DFA"/>
    <w:rsid w:val="006D2A39"/>
    <w:rsid w:val="006D46B0"/>
    <w:rsid w:val="006E248A"/>
    <w:rsid w:val="006E2581"/>
    <w:rsid w:val="006E45BD"/>
    <w:rsid w:val="006E4AFF"/>
    <w:rsid w:val="006E63BE"/>
    <w:rsid w:val="006E6C7F"/>
    <w:rsid w:val="006F077C"/>
    <w:rsid w:val="006F29CA"/>
    <w:rsid w:val="006F4954"/>
    <w:rsid w:val="006F57CE"/>
    <w:rsid w:val="00701196"/>
    <w:rsid w:val="00707370"/>
    <w:rsid w:val="00707829"/>
    <w:rsid w:val="00710454"/>
    <w:rsid w:val="0071355E"/>
    <w:rsid w:val="0071506D"/>
    <w:rsid w:val="00715450"/>
    <w:rsid w:val="00715FC4"/>
    <w:rsid w:val="007165EB"/>
    <w:rsid w:val="00720EE9"/>
    <w:rsid w:val="00721B5F"/>
    <w:rsid w:val="00725C8F"/>
    <w:rsid w:val="00727661"/>
    <w:rsid w:val="00731918"/>
    <w:rsid w:val="007358E6"/>
    <w:rsid w:val="00736462"/>
    <w:rsid w:val="007444D3"/>
    <w:rsid w:val="00747CFE"/>
    <w:rsid w:val="00750AE9"/>
    <w:rsid w:val="00750C8B"/>
    <w:rsid w:val="00753CEE"/>
    <w:rsid w:val="00757268"/>
    <w:rsid w:val="0076120D"/>
    <w:rsid w:val="007637C3"/>
    <w:rsid w:val="00766E13"/>
    <w:rsid w:val="00770FEE"/>
    <w:rsid w:val="00772046"/>
    <w:rsid w:val="00775C5D"/>
    <w:rsid w:val="00777D19"/>
    <w:rsid w:val="00780A07"/>
    <w:rsid w:val="00781C3B"/>
    <w:rsid w:val="00781EFE"/>
    <w:rsid w:val="007841E8"/>
    <w:rsid w:val="007843DC"/>
    <w:rsid w:val="00785744"/>
    <w:rsid w:val="00796DDD"/>
    <w:rsid w:val="00796F74"/>
    <w:rsid w:val="007A0F76"/>
    <w:rsid w:val="007A41F0"/>
    <w:rsid w:val="007B075F"/>
    <w:rsid w:val="007B25CD"/>
    <w:rsid w:val="007B3512"/>
    <w:rsid w:val="007B361F"/>
    <w:rsid w:val="007B40F6"/>
    <w:rsid w:val="007C2242"/>
    <w:rsid w:val="007C2333"/>
    <w:rsid w:val="007C432A"/>
    <w:rsid w:val="007C6E4E"/>
    <w:rsid w:val="007D1143"/>
    <w:rsid w:val="007D280B"/>
    <w:rsid w:val="007D2E4E"/>
    <w:rsid w:val="007D3906"/>
    <w:rsid w:val="007E07DC"/>
    <w:rsid w:val="007E2053"/>
    <w:rsid w:val="007E56C2"/>
    <w:rsid w:val="007F0254"/>
    <w:rsid w:val="007F0834"/>
    <w:rsid w:val="007F1B61"/>
    <w:rsid w:val="007F5434"/>
    <w:rsid w:val="00803D98"/>
    <w:rsid w:val="00804168"/>
    <w:rsid w:val="0080487E"/>
    <w:rsid w:val="00805A31"/>
    <w:rsid w:val="00805D3B"/>
    <w:rsid w:val="0080656F"/>
    <w:rsid w:val="00812D4B"/>
    <w:rsid w:val="00814025"/>
    <w:rsid w:val="00815E03"/>
    <w:rsid w:val="008206E4"/>
    <w:rsid w:val="008211A5"/>
    <w:rsid w:val="0082272F"/>
    <w:rsid w:val="00824802"/>
    <w:rsid w:val="00825981"/>
    <w:rsid w:val="0083437F"/>
    <w:rsid w:val="00835CA8"/>
    <w:rsid w:val="00837C74"/>
    <w:rsid w:val="0084550A"/>
    <w:rsid w:val="0085002C"/>
    <w:rsid w:val="00852E83"/>
    <w:rsid w:val="00854AA7"/>
    <w:rsid w:val="00861C16"/>
    <w:rsid w:val="00862304"/>
    <w:rsid w:val="0086615F"/>
    <w:rsid w:val="008662F4"/>
    <w:rsid w:val="008668F7"/>
    <w:rsid w:val="00867073"/>
    <w:rsid w:val="00872374"/>
    <w:rsid w:val="00872D7D"/>
    <w:rsid w:val="00874881"/>
    <w:rsid w:val="00874A7A"/>
    <w:rsid w:val="00876DEE"/>
    <w:rsid w:val="0088038D"/>
    <w:rsid w:val="00883D4C"/>
    <w:rsid w:val="00887843"/>
    <w:rsid w:val="00891CDE"/>
    <w:rsid w:val="00893353"/>
    <w:rsid w:val="0089611E"/>
    <w:rsid w:val="008979F5"/>
    <w:rsid w:val="008A14CA"/>
    <w:rsid w:val="008A5F43"/>
    <w:rsid w:val="008A6014"/>
    <w:rsid w:val="008A6696"/>
    <w:rsid w:val="008A7CD1"/>
    <w:rsid w:val="008B4E87"/>
    <w:rsid w:val="008B657F"/>
    <w:rsid w:val="008B65A8"/>
    <w:rsid w:val="008B65AA"/>
    <w:rsid w:val="008C0223"/>
    <w:rsid w:val="008C25FA"/>
    <w:rsid w:val="008C40D9"/>
    <w:rsid w:val="008C434B"/>
    <w:rsid w:val="008C4F67"/>
    <w:rsid w:val="008C5654"/>
    <w:rsid w:val="008D0286"/>
    <w:rsid w:val="008D20D9"/>
    <w:rsid w:val="008D25F1"/>
    <w:rsid w:val="008D53EF"/>
    <w:rsid w:val="008D6ECF"/>
    <w:rsid w:val="008E038B"/>
    <w:rsid w:val="008E04DA"/>
    <w:rsid w:val="008E360A"/>
    <w:rsid w:val="008E37CB"/>
    <w:rsid w:val="008E5B7B"/>
    <w:rsid w:val="008E5C04"/>
    <w:rsid w:val="008F130D"/>
    <w:rsid w:val="008F202D"/>
    <w:rsid w:val="008F2792"/>
    <w:rsid w:val="008F371F"/>
    <w:rsid w:val="008F62E9"/>
    <w:rsid w:val="008F65D7"/>
    <w:rsid w:val="009009BC"/>
    <w:rsid w:val="009036CB"/>
    <w:rsid w:val="00904BB8"/>
    <w:rsid w:val="009066CD"/>
    <w:rsid w:val="00906A7D"/>
    <w:rsid w:val="0091046E"/>
    <w:rsid w:val="00910AFC"/>
    <w:rsid w:val="00912FC5"/>
    <w:rsid w:val="00913929"/>
    <w:rsid w:val="00913D60"/>
    <w:rsid w:val="0091436A"/>
    <w:rsid w:val="00915B88"/>
    <w:rsid w:val="0092185E"/>
    <w:rsid w:val="009224AE"/>
    <w:rsid w:val="00922855"/>
    <w:rsid w:val="00922CF0"/>
    <w:rsid w:val="00923F5B"/>
    <w:rsid w:val="00926651"/>
    <w:rsid w:val="009371CF"/>
    <w:rsid w:val="00940050"/>
    <w:rsid w:val="00942A04"/>
    <w:rsid w:val="009462B6"/>
    <w:rsid w:val="00946F43"/>
    <w:rsid w:val="00946F5B"/>
    <w:rsid w:val="00946F9E"/>
    <w:rsid w:val="00951647"/>
    <w:rsid w:val="00954B4E"/>
    <w:rsid w:val="0096068B"/>
    <w:rsid w:val="00962428"/>
    <w:rsid w:val="00963DEB"/>
    <w:rsid w:val="00965C73"/>
    <w:rsid w:val="00966860"/>
    <w:rsid w:val="0096752D"/>
    <w:rsid w:val="009770E0"/>
    <w:rsid w:val="00981258"/>
    <w:rsid w:val="009821FD"/>
    <w:rsid w:val="00983402"/>
    <w:rsid w:val="00985BEA"/>
    <w:rsid w:val="0098744D"/>
    <w:rsid w:val="009877CA"/>
    <w:rsid w:val="00990766"/>
    <w:rsid w:val="00991671"/>
    <w:rsid w:val="009A01DF"/>
    <w:rsid w:val="009A1794"/>
    <w:rsid w:val="009A43D5"/>
    <w:rsid w:val="009A54FB"/>
    <w:rsid w:val="009A5792"/>
    <w:rsid w:val="009A71FD"/>
    <w:rsid w:val="009B0CB0"/>
    <w:rsid w:val="009B1797"/>
    <w:rsid w:val="009B3638"/>
    <w:rsid w:val="009B4441"/>
    <w:rsid w:val="009B5BEC"/>
    <w:rsid w:val="009B7331"/>
    <w:rsid w:val="009C02DF"/>
    <w:rsid w:val="009C59F2"/>
    <w:rsid w:val="009D2297"/>
    <w:rsid w:val="009D2750"/>
    <w:rsid w:val="009D468D"/>
    <w:rsid w:val="009D7162"/>
    <w:rsid w:val="009E17B4"/>
    <w:rsid w:val="009E2AB1"/>
    <w:rsid w:val="009E7A14"/>
    <w:rsid w:val="009F0052"/>
    <w:rsid w:val="009F0F43"/>
    <w:rsid w:val="009F17AE"/>
    <w:rsid w:val="009F7F46"/>
    <w:rsid w:val="00A00830"/>
    <w:rsid w:val="00A0376D"/>
    <w:rsid w:val="00A0565B"/>
    <w:rsid w:val="00A06051"/>
    <w:rsid w:val="00A07640"/>
    <w:rsid w:val="00A10F94"/>
    <w:rsid w:val="00A12E4D"/>
    <w:rsid w:val="00A14154"/>
    <w:rsid w:val="00A141AD"/>
    <w:rsid w:val="00A142D7"/>
    <w:rsid w:val="00A1440B"/>
    <w:rsid w:val="00A16FA0"/>
    <w:rsid w:val="00A22FC1"/>
    <w:rsid w:val="00A241B8"/>
    <w:rsid w:val="00A24C09"/>
    <w:rsid w:val="00A24F5A"/>
    <w:rsid w:val="00A26775"/>
    <w:rsid w:val="00A320D1"/>
    <w:rsid w:val="00A33223"/>
    <w:rsid w:val="00A36E7C"/>
    <w:rsid w:val="00A3780C"/>
    <w:rsid w:val="00A4375E"/>
    <w:rsid w:val="00A43FCF"/>
    <w:rsid w:val="00A44D9C"/>
    <w:rsid w:val="00A45F7E"/>
    <w:rsid w:val="00A54E35"/>
    <w:rsid w:val="00A5520C"/>
    <w:rsid w:val="00A5601D"/>
    <w:rsid w:val="00A57823"/>
    <w:rsid w:val="00A647F2"/>
    <w:rsid w:val="00A6556E"/>
    <w:rsid w:val="00A658F1"/>
    <w:rsid w:val="00A66FDE"/>
    <w:rsid w:val="00A67F3A"/>
    <w:rsid w:val="00A7115F"/>
    <w:rsid w:val="00A7655A"/>
    <w:rsid w:val="00A86174"/>
    <w:rsid w:val="00A9043E"/>
    <w:rsid w:val="00A91C0F"/>
    <w:rsid w:val="00A93EDC"/>
    <w:rsid w:val="00A97737"/>
    <w:rsid w:val="00AA775C"/>
    <w:rsid w:val="00AA7DE5"/>
    <w:rsid w:val="00AB3C65"/>
    <w:rsid w:val="00AC228A"/>
    <w:rsid w:val="00AC3031"/>
    <w:rsid w:val="00AC4063"/>
    <w:rsid w:val="00AC4C1F"/>
    <w:rsid w:val="00AD0A02"/>
    <w:rsid w:val="00AD2D16"/>
    <w:rsid w:val="00AD2DC7"/>
    <w:rsid w:val="00AD3CB0"/>
    <w:rsid w:val="00AD4C26"/>
    <w:rsid w:val="00AD5162"/>
    <w:rsid w:val="00AD5FEC"/>
    <w:rsid w:val="00AE16A9"/>
    <w:rsid w:val="00AE1E00"/>
    <w:rsid w:val="00AE5FD1"/>
    <w:rsid w:val="00AE76AF"/>
    <w:rsid w:val="00AF60A4"/>
    <w:rsid w:val="00AF7CFE"/>
    <w:rsid w:val="00B0243B"/>
    <w:rsid w:val="00B044CC"/>
    <w:rsid w:val="00B05AE1"/>
    <w:rsid w:val="00B07666"/>
    <w:rsid w:val="00B10D96"/>
    <w:rsid w:val="00B10F6B"/>
    <w:rsid w:val="00B10F8C"/>
    <w:rsid w:val="00B11083"/>
    <w:rsid w:val="00B12162"/>
    <w:rsid w:val="00B12426"/>
    <w:rsid w:val="00B126B6"/>
    <w:rsid w:val="00B12B51"/>
    <w:rsid w:val="00B137DE"/>
    <w:rsid w:val="00B14120"/>
    <w:rsid w:val="00B155F2"/>
    <w:rsid w:val="00B208FE"/>
    <w:rsid w:val="00B21495"/>
    <w:rsid w:val="00B222B4"/>
    <w:rsid w:val="00B225BC"/>
    <w:rsid w:val="00B23B4D"/>
    <w:rsid w:val="00B26F27"/>
    <w:rsid w:val="00B278A0"/>
    <w:rsid w:val="00B32F26"/>
    <w:rsid w:val="00B351EC"/>
    <w:rsid w:val="00B40302"/>
    <w:rsid w:val="00B428A3"/>
    <w:rsid w:val="00B43863"/>
    <w:rsid w:val="00B45424"/>
    <w:rsid w:val="00B4664B"/>
    <w:rsid w:val="00B4724A"/>
    <w:rsid w:val="00B47B70"/>
    <w:rsid w:val="00B51C2F"/>
    <w:rsid w:val="00B51EFE"/>
    <w:rsid w:val="00B54549"/>
    <w:rsid w:val="00B55167"/>
    <w:rsid w:val="00B561A8"/>
    <w:rsid w:val="00B645B3"/>
    <w:rsid w:val="00B650A1"/>
    <w:rsid w:val="00B7186A"/>
    <w:rsid w:val="00B72616"/>
    <w:rsid w:val="00B726AE"/>
    <w:rsid w:val="00B727B6"/>
    <w:rsid w:val="00B72D8A"/>
    <w:rsid w:val="00B75B63"/>
    <w:rsid w:val="00B81BEF"/>
    <w:rsid w:val="00B830FB"/>
    <w:rsid w:val="00B8470A"/>
    <w:rsid w:val="00B912DC"/>
    <w:rsid w:val="00B918E4"/>
    <w:rsid w:val="00B945E9"/>
    <w:rsid w:val="00B94904"/>
    <w:rsid w:val="00B95719"/>
    <w:rsid w:val="00B95E64"/>
    <w:rsid w:val="00B97164"/>
    <w:rsid w:val="00BA1245"/>
    <w:rsid w:val="00BA14BC"/>
    <w:rsid w:val="00BA207A"/>
    <w:rsid w:val="00BA314B"/>
    <w:rsid w:val="00BA371E"/>
    <w:rsid w:val="00BA7A15"/>
    <w:rsid w:val="00BB028F"/>
    <w:rsid w:val="00BB2226"/>
    <w:rsid w:val="00BB5345"/>
    <w:rsid w:val="00BB61B0"/>
    <w:rsid w:val="00BB70E2"/>
    <w:rsid w:val="00BC050E"/>
    <w:rsid w:val="00BC2516"/>
    <w:rsid w:val="00BC415B"/>
    <w:rsid w:val="00BC476E"/>
    <w:rsid w:val="00BC4C0C"/>
    <w:rsid w:val="00BC6124"/>
    <w:rsid w:val="00BC76C4"/>
    <w:rsid w:val="00BE1C47"/>
    <w:rsid w:val="00BE7508"/>
    <w:rsid w:val="00BF1708"/>
    <w:rsid w:val="00BF5E0C"/>
    <w:rsid w:val="00C004B6"/>
    <w:rsid w:val="00C02C6B"/>
    <w:rsid w:val="00C054FC"/>
    <w:rsid w:val="00C06D39"/>
    <w:rsid w:val="00C074AD"/>
    <w:rsid w:val="00C132B4"/>
    <w:rsid w:val="00C143D3"/>
    <w:rsid w:val="00C14A69"/>
    <w:rsid w:val="00C15868"/>
    <w:rsid w:val="00C179DF"/>
    <w:rsid w:val="00C17E8E"/>
    <w:rsid w:val="00C235BE"/>
    <w:rsid w:val="00C2468C"/>
    <w:rsid w:val="00C26C12"/>
    <w:rsid w:val="00C31373"/>
    <w:rsid w:val="00C32090"/>
    <w:rsid w:val="00C32CD4"/>
    <w:rsid w:val="00C33ADC"/>
    <w:rsid w:val="00C352AE"/>
    <w:rsid w:val="00C35451"/>
    <w:rsid w:val="00C36915"/>
    <w:rsid w:val="00C407BC"/>
    <w:rsid w:val="00C42A55"/>
    <w:rsid w:val="00C4332A"/>
    <w:rsid w:val="00C51965"/>
    <w:rsid w:val="00C525D0"/>
    <w:rsid w:val="00C5402B"/>
    <w:rsid w:val="00C56814"/>
    <w:rsid w:val="00C62A7C"/>
    <w:rsid w:val="00C63DC2"/>
    <w:rsid w:val="00C66EB3"/>
    <w:rsid w:val="00C70334"/>
    <w:rsid w:val="00C77FC2"/>
    <w:rsid w:val="00C84593"/>
    <w:rsid w:val="00C86E39"/>
    <w:rsid w:val="00CA1169"/>
    <w:rsid w:val="00CA41F6"/>
    <w:rsid w:val="00CB206D"/>
    <w:rsid w:val="00CB48A4"/>
    <w:rsid w:val="00CB4939"/>
    <w:rsid w:val="00CB5717"/>
    <w:rsid w:val="00CC02DA"/>
    <w:rsid w:val="00CC1543"/>
    <w:rsid w:val="00CC2F03"/>
    <w:rsid w:val="00CC733F"/>
    <w:rsid w:val="00CD1FB4"/>
    <w:rsid w:val="00CD301B"/>
    <w:rsid w:val="00CD3310"/>
    <w:rsid w:val="00CD4CE9"/>
    <w:rsid w:val="00CD78F1"/>
    <w:rsid w:val="00CE089D"/>
    <w:rsid w:val="00CE289E"/>
    <w:rsid w:val="00CE3A9A"/>
    <w:rsid w:val="00CF1926"/>
    <w:rsid w:val="00CF2AE0"/>
    <w:rsid w:val="00CF4288"/>
    <w:rsid w:val="00CF686A"/>
    <w:rsid w:val="00CF73D7"/>
    <w:rsid w:val="00D02EDE"/>
    <w:rsid w:val="00D05BC4"/>
    <w:rsid w:val="00D05C80"/>
    <w:rsid w:val="00D05F46"/>
    <w:rsid w:val="00D116F1"/>
    <w:rsid w:val="00D142CD"/>
    <w:rsid w:val="00D1607E"/>
    <w:rsid w:val="00D20565"/>
    <w:rsid w:val="00D211FF"/>
    <w:rsid w:val="00D22A3E"/>
    <w:rsid w:val="00D2563B"/>
    <w:rsid w:val="00D25C48"/>
    <w:rsid w:val="00D26FD6"/>
    <w:rsid w:val="00D273AC"/>
    <w:rsid w:val="00D33FF7"/>
    <w:rsid w:val="00D3683D"/>
    <w:rsid w:val="00D37FD4"/>
    <w:rsid w:val="00D41096"/>
    <w:rsid w:val="00D4605E"/>
    <w:rsid w:val="00D46725"/>
    <w:rsid w:val="00D50BBB"/>
    <w:rsid w:val="00D5157D"/>
    <w:rsid w:val="00D51997"/>
    <w:rsid w:val="00D5277A"/>
    <w:rsid w:val="00D540F5"/>
    <w:rsid w:val="00D56644"/>
    <w:rsid w:val="00D60268"/>
    <w:rsid w:val="00D602C3"/>
    <w:rsid w:val="00D62430"/>
    <w:rsid w:val="00D62A97"/>
    <w:rsid w:val="00D6360B"/>
    <w:rsid w:val="00D64954"/>
    <w:rsid w:val="00D64C54"/>
    <w:rsid w:val="00D66732"/>
    <w:rsid w:val="00D705F7"/>
    <w:rsid w:val="00D7441B"/>
    <w:rsid w:val="00D75CD1"/>
    <w:rsid w:val="00D77BA0"/>
    <w:rsid w:val="00D80309"/>
    <w:rsid w:val="00D808F1"/>
    <w:rsid w:val="00D81807"/>
    <w:rsid w:val="00D81A9D"/>
    <w:rsid w:val="00D8439E"/>
    <w:rsid w:val="00D84C47"/>
    <w:rsid w:val="00D852C3"/>
    <w:rsid w:val="00D87436"/>
    <w:rsid w:val="00D90C77"/>
    <w:rsid w:val="00D941A1"/>
    <w:rsid w:val="00D956F7"/>
    <w:rsid w:val="00DA05FD"/>
    <w:rsid w:val="00DA1D13"/>
    <w:rsid w:val="00DA55A3"/>
    <w:rsid w:val="00DA63AA"/>
    <w:rsid w:val="00DA6ABF"/>
    <w:rsid w:val="00DA6FC0"/>
    <w:rsid w:val="00DB2D5F"/>
    <w:rsid w:val="00DB4ECF"/>
    <w:rsid w:val="00DB53F7"/>
    <w:rsid w:val="00DB5DCE"/>
    <w:rsid w:val="00DB6649"/>
    <w:rsid w:val="00DB6E80"/>
    <w:rsid w:val="00DB7781"/>
    <w:rsid w:val="00DC161B"/>
    <w:rsid w:val="00DC2E6F"/>
    <w:rsid w:val="00DC49E6"/>
    <w:rsid w:val="00DC4E0E"/>
    <w:rsid w:val="00DC4E2B"/>
    <w:rsid w:val="00DC5D9E"/>
    <w:rsid w:val="00DC6158"/>
    <w:rsid w:val="00DD0DDD"/>
    <w:rsid w:val="00DD163E"/>
    <w:rsid w:val="00DD1EC3"/>
    <w:rsid w:val="00DD20CC"/>
    <w:rsid w:val="00DD5603"/>
    <w:rsid w:val="00DD6BE5"/>
    <w:rsid w:val="00DD7A5D"/>
    <w:rsid w:val="00DE0827"/>
    <w:rsid w:val="00DE19DE"/>
    <w:rsid w:val="00DE36A9"/>
    <w:rsid w:val="00DE557C"/>
    <w:rsid w:val="00DE5691"/>
    <w:rsid w:val="00DE5C3F"/>
    <w:rsid w:val="00DE79DB"/>
    <w:rsid w:val="00DF2443"/>
    <w:rsid w:val="00DF28C0"/>
    <w:rsid w:val="00DF57CB"/>
    <w:rsid w:val="00DF6ACE"/>
    <w:rsid w:val="00DF6DD1"/>
    <w:rsid w:val="00E01F05"/>
    <w:rsid w:val="00E04713"/>
    <w:rsid w:val="00E05236"/>
    <w:rsid w:val="00E160F7"/>
    <w:rsid w:val="00E20181"/>
    <w:rsid w:val="00E21E0D"/>
    <w:rsid w:val="00E2291D"/>
    <w:rsid w:val="00E23028"/>
    <w:rsid w:val="00E27430"/>
    <w:rsid w:val="00E31FC2"/>
    <w:rsid w:val="00E35895"/>
    <w:rsid w:val="00E37A2F"/>
    <w:rsid w:val="00E444D7"/>
    <w:rsid w:val="00E44A9E"/>
    <w:rsid w:val="00E50645"/>
    <w:rsid w:val="00E50CD3"/>
    <w:rsid w:val="00E55F25"/>
    <w:rsid w:val="00E56A51"/>
    <w:rsid w:val="00E6499B"/>
    <w:rsid w:val="00E703FE"/>
    <w:rsid w:val="00E70B65"/>
    <w:rsid w:val="00E711AE"/>
    <w:rsid w:val="00E71641"/>
    <w:rsid w:val="00E7467D"/>
    <w:rsid w:val="00E752A5"/>
    <w:rsid w:val="00E82249"/>
    <w:rsid w:val="00E83152"/>
    <w:rsid w:val="00E8462F"/>
    <w:rsid w:val="00E86707"/>
    <w:rsid w:val="00E914A6"/>
    <w:rsid w:val="00E959FC"/>
    <w:rsid w:val="00E97004"/>
    <w:rsid w:val="00EA1F13"/>
    <w:rsid w:val="00EA5854"/>
    <w:rsid w:val="00EA6072"/>
    <w:rsid w:val="00EC16C9"/>
    <w:rsid w:val="00EC19F7"/>
    <w:rsid w:val="00ED1DF5"/>
    <w:rsid w:val="00ED55EF"/>
    <w:rsid w:val="00ED6199"/>
    <w:rsid w:val="00EE5B3E"/>
    <w:rsid w:val="00EF199E"/>
    <w:rsid w:val="00EF1F5E"/>
    <w:rsid w:val="00EF4FAE"/>
    <w:rsid w:val="00EF6656"/>
    <w:rsid w:val="00EF7600"/>
    <w:rsid w:val="00F01BC1"/>
    <w:rsid w:val="00F0683D"/>
    <w:rsid w:val="00F13988"/>
    <w:rsid w:val="00F141AB"/>
    <w:rsid w:val="00F21013"/>
    <w:rsid w:val="00F244BE"/>
    <w:rsid w:val="00F30D09"/>
    <w:rsid w:val="00F30E01"/>
    <w:rsid w:val="00F323EF"/>
    <w:rsid w:val="00F338DE"/>
    <w:rsid w:val="00F34980"/>
    <w:rsid w:val="00F35C6B"/>
    <w:rsid w:val="00F35DE8"/>
    <w:rsid w:val="00F367E9"/>
    <w:rsid w:val="00F370C9"/>
    <w:rsid w:val="00F42E8A"/>
    <w:rsid w:val="00F46C1B"/>
    <w:rsid w:val="00F474CF"/>
    <w:rsid w:val="00F52FD4"/>
    <w:rsid w:val="00F544A9"/>
    <w:rsid w:val="00F56CEA"/>
    <w:rsid w:val="00F6033C"/>
    <w:rsid w:val="00F63EF9"/>
    <w:rsid w:val="00F66CA6"/>
    <w:rsid w:val="00F66D1A"/>
    <w:rsid w:val="00F71FDD"/>
    <w:rsid w:val="00F73405"/>
    <w:rsid w:val="00F75CA0"/>
    <w:rsid w:val="00F77ACB"/>
    <w:rsid w:val="00F84984"/>
    <w:rsid w:val="00F86FA3"/>
    <w:rsid w:val="00F92F17"/>
    <w:rsid w:val="00F97A86"/>
    <w:rsid w:val="00FA01F4"/>
    <w:rsid w:val="00FA3B38"/>
    <w:rsid w:val="00FA4DD4"/>
    <w:rsid w:val="00FA6326"/>
    <w:rsid w:val="00FA7593"/>
    <w:rsid w:val="00FB2F62"/>
    <w:rsid w:val="00FB4101"/>
    <w:rsid w:val="00FB7C07"/>
    <w:rsid w:val="00FC55C5"/>
    <w:rsid w:val="00FC5653"/>
    <w:rsid w:val="00FD01A7"/>
    <w:rsid w:val="00FD24E5"/>
    <w:rsid w:val="00FD2731"/>
    <w:rsid w:val="00FD2B5E"/>
    <w:rsid w:val="00FD33E1"/>
    <w:rsid w:val="00FD3D70"/>
    <w:rsid w:val="00FD5ADD"/>
    <w:rsid w:val="00FD6918"/>
    <w:rsid w:val="00FD69A0"/>
    <w:rsid w:val="00FD69C1"/>
    <w:rsid w:val="00FF1076"/>
    <w:rsid w:val="00FF14C9"/>
    <w:rsid w:val="00FF1BC5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rFonts w:eastAsia="Times New Roman"/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7C6E4E"/>
    <w:pPr>
      <w:keepNext/>
      <w:outlineLvl w:val="0"/>
    </w:pPr>
    <w:rPr>
      <w:b/>
      <w:noProof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12"/>
      </w:numPr>
      <w:ind w:right="-2"/>
      <w:outlineLvl w:val="2"/>
    </w:pPr>
    <w:rPr>
      <w:i/>
      <w:iCs/>
      <w:lang w:val="en-US"/>
    </w:rPr>
  </w:style>
  <w:style w:type="paragraph" w:styleId="Nadpis4">
    <w:name w:val="heading 4"/>
    <w:basedOn w:val="Normln"/>
    <w:next w:val="Normln"/>
    <w:qFormat/>
    <w:pPr>
      <w:keepNext/>
      <w:numPr>
        <w:ilvl w:val="12"/>
      </w:numPr>
      <w:ind w:right="-2"/>
      <w:outlineLvl w:val="3"/>
    </w:pPr>
    <w:rPr>
      <w:lang w:val="en-US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noProof/>
    </w:rPr>
  </w:style>
  <w:style w:type="paragraph" w:styleId="Nadpis6">
    <w:name w:val="heading 6"/>
    <w:basedOn w:val="Normln"/>
    <w:next w:val="Normln"/>
    <w:qFormat/>
    <w:pPr>
      <w:keepNext/>
      <w:keepLines/>
      <w:autoSpaceDE w:val="0"/>
      <w:autoSpaceDN w:val="0"/>
      <w:adjustRightInd w:val="0"/>
      <w:spacing w:line="240" w:lineRule="auto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keepLines/>
      <w:spacing w:line="240" w:lineRule="auto"/>
      <w:outlineLvl w:val="6"/>
    </w:pPr>
    <w:rPr>
      <w:i/>
      <w:iCs/>
      <w:szCs w:val="22"/>
      <w:u w:val="single"/>
      <w:lang w:val="en-US"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  <w:tab w:val="left" w:pos="540"/>
      </w:tabs>
      <w:spacing w:line="240" w:lineRule="auto"/>
      <w:ind w:left="547" w:hanging="547"/>
      <w:outlineLvl w:val="7"/>
    </w:pPr>
    <w:rPr>
      <w:u w:val="single"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</w:tabs>
      <w:spacing w:line="240" w:lineRule="auto"/>
    </w:pPr>
    <w:rPr>
      <w:i/>
      <w:color w:val="008000"/>
    </w:rPr>
  </w:style>
  <w:style w:type="paragraph" w:styleId="Textkomente">
    <w:name w:val="annotation text"/>
    <w:basedOn w:val="Normln"/>
    <w:semiHidden/>
    <w:rPr>
      <w:sz w:val="20"/>
    </w:rPr>
  </w:style>
  <w:style w:type="character" w:styleId="Hypertextovodkaz">
    <w:name w:val="Hyperlink"/>
    <w:rPr>
      <w:color w:val="0000FF"/>
      <w:u w:val="single"/>
    </w:rPr>
  </w:style>
  <w:style w:type="paragraph" w:customStyle="1" w:styleId="EMEAEnBodyText">
    <w:name w:val="EMEA En Body Text"/>
    <w:basedOn w:val="Normln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DraftingNotesAgencyChar">
    <w:name w:val="Drafting Notes (Agency) Char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paragraph" w:customStyle="1" w:styleId="NormalAgency">
    <w:name w:val="Normal (Agency)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A-Single">
    <w:name w:val="A-Single"/>
    <w:rPr>
      <w:rFonts w:eastAsia="Times New Roman"/>
      <w:sz w:val="24"/>
      <w:lang w:val="en-GB" w:eastAsia="en-US"/>
    </w:r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NormalAgencyChar">
    <w:name w:val="Normal (Agency) Char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CommentTextChar">
    <w:name w:val="Comment Text Char"/>
    <w:semiHidden/>
    <w:rPr>
      <w:rFonts w:eastAsia="Times New Roman"/>
      <w:lang w:eastAsia="en-US"/>
    </w:rPr>
  </w:style>
  <w:style w:type="character" w:customStyle="1" w:styleId="CommentSubjectChar">
    <w:name w:val="Comment Subject Char"/>
    <w:rPr>
      <w:rFonts w:eastAsia="Times New Roman"/>
      <w:b/>
      <w:bCs/>
      <w:lang w:eastAsia="en-US"/>
    </w:rPr>
  </w:style>
  <w:style w:type="character" w:customStyle="1" w:styleId="Heading5Char">
    <w:name w:val="Heading 5 Char"/>
    <w:rPr>
      <w:rFonts w:eastAsia="Times New Roman"/>
      <w:noProof/>
      <w:sz w:val="22"/>
      <w:lang w:val="en-GB"/>
    </w:rPr>
  </w:style>
  <w:style w:type="paragraph" w:customStyle="1" w:styleId="A-Heading4">
    <w:name w:val="A-Heading 4"/>
    <w:next w:val="Normln"/>
    <w:pPr>
      <w:keepNext/>
      <w:spacing w:after="120"/>
      <w:outlineLvl w:val="3"/>
    </w:pPr>
    <w:rPr>
      <w:rFonts w:eastAsia="Times New Roman"/>
      <w:b/>
      <w:i/>
      <w:sz w:val="24"/>
      <w:lang w:val="en-GB" w:eastAsia="en-US"/>
    </w:rPr>
  </w:style>
  <w:style w:type="paragraph" w:customStyle="1" w:styleId="A-ListBullet">
    <w:name w:val="A-List Bullet"/>
    <w:pPr>
      <w:tabs>
        <w:tab w:val="num" w:pos="994"/>
      </w:tabs>
      <w:spacing w:after="240" w:line="280" w:lineRule="atLeast"/>
      <w:ind w:left="994" w:hanging="994"/>
    </w:pPr>
    <w:rPr>
      <w:rFonts w:eastAsia="Times New Roman"/>
      <w:sz w:val="24"/>
      <w:lang w:val="en-GB" w:eastAsia="en-US"/>
    </w:rPr>
  </w:style>
  <w:style w:type="paragraph" w:customStyle="1" w:styleId="A-TableText">
    <w:name w:val="A-Table Text"/>
    <w:pPr>
      <w:spacing w:before="60" w:after="60"/>
    </w:pPr>
    <w:rPr>
      <w:rFonts w:eastAsia="Times New Roman"/>
      <w:sz w:val="22"/>
      <w:lang w:val="en-GB" w:eastAsia="en-US"/>
    </w:rPr>
  </w:style>
  <w:style w:type="paragraph" w:customStyle="1" w:styleId="A-TableTitle">
    <w:name w:val="A-Table Title"/>
    <w:next w:val="Normln"/>
    <w:pPr>
      <w:keepNext/>
      <w:tabs>
        <w:tab w:val="left" w:pos="1800"/>
      </w:tabs>
      <w:spacing w:after="120" w:line="280" w:lineRule="atLeast"/>
      <w:ind w:left="1800" w:hanging="1800"/>
    </w:pPr>
    <w:rPr>
      <w:rFonts w:eastAsia="Times New Roman"/>
      <w:b/>
      <w:sz w:val="24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rFonts w:ascii="Arial" w:eastAsia="Arial Unicode MS" w:hAnsi="Arial"/>
      <w:szCs w:val="22"/>
      <w:lang w:val="en-US"/>
    </w:rPr>
  </w:style>
  <w:style w:type="paragraph" w:customStyle="1" w:styleId="A-TableHeader">
    <w:name w:val="A-Table Header"/>
    <w:next w:val="A-TableText"/>
    <w:pPr>
      <w:keepNext/>
      <w:spacing w:before="60" w:after="60"/>
    </w:pPr>
    <w:rPr>
      <w:rFonts w:eastAsia="Times New Roman"/>
      <w:b/>
      <w:sz w:val="22"/>
      <w:lang w:val="en-GB" w:eastAsia="en-US"/>
    </w:rPr>
  </w:style>
  <w:style w:type="paragraph" w:customStyle="1" w:styleId="A-TableFootnoteText">
    <w:name w:val="A-Table Footnote Text"/>
    <w:next w:val="Normln"/>
    <w:pPr>
      <w:tabs>
        <w:tab w:val="left" w:pos="432"/>
      </w:tabs>
      <w:ind w:left="432" w:hanging="432"/>
    </w:pPr>
    <w:rPr>
      <w:rFonts w:eastAsia="Times New Roman"/>
      <w:lang w:val="en-GB" w:eastAsia="en-US"/>
    </w:rPr>
  </w:style>
  <w:style w:type="paragraph" w:customStyle="1" w:styleId="A-FigureTitle">
    <w:name w:val="A-Figure Title"/>
    <w:next w:val="Normln"/>
    <w:pPr>
      <w:keepNext/>
      <w:numPr>
        <w:numId w:val="1"/>
      </w:numPr>
      <w:tabs>
        <w:tab w:val="left" w:pos="1800"/>
      </w:tabs>
      <w:spacing w:after="120" w:line="280" w:lineRule="atLeast"/>
    </w:pPr>
    <w:rPr>
      <w:rFonts w:eastAsia="Times New Roman"/>
      <w:b/>
      <w:sz w:val="24"/>
      <w:lang w:val="en-GB" w:eastAsia="en-US"/>
    </w:rPr>
  </w:style>
  <w:style w:type="paragraph" w:customStyle="1" w:styleId="A-Listi">
    <w:name w:val="A-List (i)"/>
    <w:next w:val="Normln"/>
    <w:pPr>
      <w:numPr>
        <w:numId w:val="2"/>
      </w:numPr>
      <w:spacing w:after="240" w:line="280" w:lineRule="atLeast"/>
    </w:pPr>
    <w:rPr>
      <w:rFonts w:eastAsia="Times New Roman"/>
      <w:sz w:val="24"/>
      <w:lang w:val="en-GB" w:eastAsia="en-US"/>
    </w:rPr>
  </w:style>
  <w:style w:type="paragraph" w:styleId="Revize">
    <w:name w:val="Revision"/>
    <w:hidden/>
    <w:semiHidden/>
    <w:rPr>
      <w:rFonts w:eastAsia="Times New Roman"/>
      <w:sz w:val="22"/>
      <w:lang w:val="en-GB" w:eastAsia="en-US"/>
    </w:rPr>
  </w:style>
  <w:style w:type="paragraph" w:customStyle="1" w:styleId="A-StudyTitle">
    <w:name w:val="A-Study Title"/>
    <w:pPr>
      <w:spacing w:after="120"/>
    </w:pPr>
    <w:rPr>
      <w:rFonts w:eastAsia="Times New Roman"/>
      <w:b/>
      <w:sz w:val="28"/>
      <w:lang w:val="en-GB" w:eastAsia="en-US"/>
    </w:rPr>
  </w:style>
  <w:style w:type="paragraph" w:customStyle="1" w:styleId="A-Unassigned">
    <w:name w:val="A-Unassigned"/>
    <w:next w:val="Normln"/>
    <w:pPr>
      <w:keepNext/>
      <w:spacing w:before="120" w:after="120"/>
    </w:pPr>
    <w:rPr>
      <w:rFonts w:eastAsia="Times New Roman"/>
      <w:b/>
      <w:sz w:val="24"/>
      <w:lang w:val="en-GB" w:eastAsia="en-US"/>
    </w:rPr>
  </w:style>
  <w:style w:type="paragraph" w:styleId="Odstavecseseznamem">
    <w:name w:val="List Paragraph"/>
    <w:basedOn w:val="Normln"/>
    <w:qFormat/>
    <w:pPr>
      <w:tabs>
        <w:tab w:val="clear" w:pos="567"/>
      </w:tabs>
      <w:spacing w:line="240" w:lineRule="auto"/>
      <w:ind w:left="720"/>
    </w:pPr>
    <w:rPr>
      <w:rFonts w:ascii="Calibri" w:eastAsia="Calibri" w:hAnsi="Calibri"/>
      <w:szCs w:val="22"/>
      <w:lang w:val="en-US"/>
    </w:rPr>
  </w:style>
  <w:style w:type="paragraph" w:styleId="Zkladntext2">
    <w:name w:val="Body Text 2"/>
    <w:basedOn w:val="Normln"/>
    <w:semiHidden/>
    <w:pPr>
      <w:numPr>
        <w:ilvl w:val="12"/>
      </w:numPr>
      <w:ind w:right="-2"/>
    </w:pPr>
    <w:rPr>
      <w:lang w:val="en-US"/>
    </w:rPr>
  </w:style>
  <w:style w:type="paragraph" w:styleId="Zkladntext3">
    <w:name w:val="Body Text 3"/>
    <w:basedOn w:val="Normln"/>
    <w:semiHidden/>
    <w:rPr>
      <w:color w:val="FF6600"/>
    </w:rPr>
  </w:style>
  <w:style w:type="paragraph" w:styleId="Zkladntextodsazen">
    <w:name w:val="Body Text Indent"/>
    <w:basedOn w:val="Normln"/>
    <w:semiHidden/>
    <w:pPr>
      <w:tabs>
        <w:tab w:val="clear" w:pos="567"/>
        <w:tab w:val="left" w:pos="540"/>
      </w:tabs>
      <w:spacing w:line="240" w:lineRule="auto"/>
      <w:ind w:left="547" w:hanging="547"/>
      <w:jc w:val="both"/>
    </w:pPr>
  </w:style>
  <w:style w:type="paragraph" w:styleId="Zkladntextodsazen2">
    <w:name w:val="Body Text Indent 2"/>
    <w:basedOn w:val="Normln"/>
    <w:semiHidden/>
    <w:pPr>
      <w:tabs>
        <w:tab w:val="clear" w:pos="567"/>
        <w:tab w:val="left" w:pos="540"/>
      </w:tabs>
      <w:spacing w:line="240" w:lineRule="auto"/>
      <w:ind w:left="547" w:hanging="547"/>
    </w:pPr>
  </w:style>
  <w:style w:type="table" w:styleId="Mkatabulky">
    <w:name w:val="Table Grid"/>
    <w:basedOn w:val="Normlntabulka"/>
    <w:uiPriority w:val="59"/>
    <w:rsid w:val="00667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29034C"/>
    <w:rPr>
      <w:rFonts w:ascii="Calibri" w:eastAsia="Times New Roman" w:hAnsi="Calibri"/>
      <w:sz w:val="22"/>
      <w:szCs w:val="22"/>
      <w:lang w:val="sk-SK" w:eastAsia="sk-SK"/>
    </w:rPr>
  </w:style>
  <w:style w:type="character" w:styleId="Siln">
    <w:name w:val="Strong"/>
    <w:qFormat/>
    <w:rsid w:val="00351A90"/>
    <w:rPr>
      <w:b/>
      <w:bCs/>
    </w:rPr>
  </w:style>
  <w:style w:type="paragraph" w:customStyle="1" w:styleId="normal">
    <w:name w:val="normal"/>
    <w:basedOn w:val="Normln"/>
    <w:link w:val="normalChar"/>
    <w:qFormat/>
    <w:rsid w:val="00C525D0"/>
    <w:pPr>
      <w:spacing w:after="120"/>
      <w:outlineLvl w:val="0"/>
    </w:pPr>
    <w:rPr>
      <w:szCs w:val="22"/>
      <w:lang w:val="sk-SK"/>
    </w:rPr>
  </w:style>
  <w:style w:type="character" w:customStyle="1" w:styleId="normalChar">
    <w:name w:val="normal Char"/>
    <w:link w:val="normal"/>
    <w:rsid w:val="00C525D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1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8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1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08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41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58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50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75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99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565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865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7051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8401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463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886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487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1C6A-16FA-4771-9560-55C25E21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6114</Words>
  <Characters>36079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Hqrdtemplatecleanen</vt:lpstr>
      <vt:lpstr>Hqrdtemplatecleanen</vt:lpstr>
    </vt:vector>
  </TitlesOfParts>
  <Company>European Medicines Agency</Company>
  <LinksUpToDate>false</LinksUpToDate>
  <CharactersWithSpaces>42109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Hqrdtemplatecleanen</dc:title>
  <dc:creator>PIQ-QRD</dc:creator>
  <cp:lastModifiedBy>Windows User</cp:lastModifiedBy>
  <cp:revision>2</cp:revision>
  <cp:lastPrinted>2019-04-04T08:43:00Z</cp:lastPrinted>
  <dcterms:created xsi:type="dcterms:W3CDTF">2020-04-02T16:22:00Z</dcterms:created>
  <dcterms:modified xsi:type="dcterms:W3CDTF">2020-04-02T16:22:00Z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General-EMA/423415/2010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Espinasse Claire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CURRENT,1.4</vt:lpwstr>
  </property>
  <property fmtid="{D5CDD505-2E9C-101B-9397-08002B2CF9AE}" pid="31" name="DM_Name">
    <vt:lpwstr>Hqrdtemplatecleanen</vt:lpwstr>
  </property>
  <property fmtid="{D5CDD505-2E9C-101B-9397-08002B2CF9AE}" pid="32" name="DM_Creation_Date">
    <vt:lpwstr>15/03/2013 12:30:32</vt:lpwstr>
  </property>
  <property fmtid="{D5CDD505-2E9C-101B-9397-08002B2CF9AE}" pid="33" name="DM_Modify_Date">
    <vt:lpwstr>15/03/2013 12:30:32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EMA/149220/2013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/13. Projects/02-004-00014-PIM Implementation/Implementation/DES 2.8 Construction/QRD Template</vt:lpwstr>
  </property>
  <property fmtid="{D5CDD505-2E9C-101B-9397-08002B2CF9AE}" pid="40" name="DM_emea_doc_ref_id">
    <vt:lpwstr>EMA/149220/2013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15/03/2013 12:30:32</vt:lpwstr>
  </property>
</Properties>
</file>